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Condominiums And Apartments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[https://www.mordorintelligence.com/industry-reports/global-condominiums-and-apartments-market](https://www.mordorintelligence.com/industry-reports/global-condominiums-and-apartments-market)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6.55 trillion |</w:t>
      </w:r>
    </w:p>
    <w:p>
      <w:pPr/>
      <w:r>
        <w:rPr>
          <w:rFonts w:ascii="Helvetica Light" w:hAnsi="Helvetica Light" w:cs="Helvetica Light"/>
          <w:sz w:val="24"/>
          <w:sz-cs w:val="24"/>
        </w:rPr>
        <w:t xml:space="preserve">| **Projected Forecast (2031)** | USD 6.55 trillion |</w:t>
      </w:r>
    </w:p>
    <w:p>
      <w:pPr/>
      <w:r>
        <w:rPr>
          <w:rFonts w:ascii="Helvetica Light" w:hAnsi="Helvetica Light" w:cs="Helvetica Light"/>
          <w:sz w:val="24"/>
          <w:sz-cs w:val="24"/>
        </w:rPr>
        <w:t xml:space="preserve">| **Growth Rate (CAGR)** | 5.64 %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Condominiums And Apartments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![Condominiums And Apartments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Condominiums And Apartments Market: Market Share by Business Model](images/chart_4.png)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Condominiums And Apartments Market: Market Share by Mode of Sale](images/chart_5.png)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![Condominiums And Apartments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![Condominiums &amp;amp; Apartments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6.55 Trillion | </w:t>
      </w:r>
    </w:p>
    <w:p>
      <w:pPr/>
      <w:r>
        <w:rPr>
          <w:rFonts w:ascii="Helvetica Light" w:hAnsi="Helvetica Light" w:cs="Helvetica Light"/>
          <w:sz w:val="24"/>
          <w:sz-cs w:val="24"/>
        </w:rPr>
        <w:t xml:space="preserve">Market Size (2031) | USD 8.62 Trillion | </w:t>
      </w:r>
    </w:p>
    <w:p>
      <w:pPr/>
      <w:r>
        <w:rPr>
          <w:rFonts w:ascii="Helvetica Light" w:hAnsi="Helvetica Light" w:cs="Helvetica Light"/>
          <w:sz w:val="24"/>
          <w:sz-cs w:val="24"/>
        </w:rPr>
        <w:t xml:space="preserve">Growth Rate (2026 - 2031) | 5.64 %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Condominiums And Apartments Market Analysis by Mordor IntelligenceThe Condominiums And Apartments Market size is projected to be USD 6.20 trillion in 2025, USD 6.55 trillion in 2026, and reach USD 8.62 trillion by 2031, growing at a CAGR of 5.64%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urbanization, persistent housing-affordability gaps, and expanding institutional appetite for income-generating residential assets are the main forces shaping the global landscape. Asia-Pacific retained clear leadership in 2025, capturing 38.4% of revenue as China, India, and Southeast Asia added record urban households. Luxury high-rise launches in Dubai, Riyadh, and Tokyo underline the importance of amenity-rich towers, while sovereign megaprojects in the Gulf push frontier growth. Developers face tighter financing and elevated input costs, yet investor demand for resilient rental cash flows continues to back new multifamily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business model, the sales segment led with a 60.2% share of the condominiums and apartments market in 2025, whereas the rental segment is set to expand at a 6.05% CAGR through 2031.</w:t>
      </w:r>
    </w:p>
    <w:p>
      <w:pPr/>
      <w:r>
        <w:rPr>
          <w:rFonts w:ascii="Helvetica Light" w:hAnsi="Helvetica Light" w:cs="Helvetica Light"/>
          <w:sz w:val="24"/>
          <w:sz-cs w:val="24"/>
        </w:rPr>
        <w:t xml:space="preserve">* By price band, mid-market units held 42.7% of the condominiums and apartments market share in 2025; luxury properties are forecast to post the fastest 6.15% CAGR to 2031.</w:t>
      </w:r>
    </w:p>
    <w:p>
      <w:pPr/>
      <w:r>
        <w:rPr>
          <w:rFonts w:ascii="Helvetica Light" w:hAnsi="Helvetica Light" w:cs="Helvetica Light"/>
          <w:sz w:val="24"/>
          <w:sz-cs w:val="24"/>
        </w:rPr>
        <w:t xml:space="preserve">* By mode of sale, secondary transactions accounted for 58.1% of the condominiums and apartments market size in 2025, while primary new builds are projected to grow 6.24% annually to 2031.</w:t>
      </w:r>
    </w:p>
    <w:p>
      <w:pPr/>
      <w:r>
        <w:rPr>
          <w:rFonts w:ascii="Helvetica Light" w:hAnsi="Helvetica Light" w:cs="Helvetica Light"/>
          <w:sz w:val="24"/>
          <w:sz-cs w:val="24"/>
        </w:rPr>
        <w:t xml:space="preserve">* Asia-Pacific captured 38.4% of global revenue in 2025; the Middle East &amp; Africa region is expected to be the quickest-growing geography at a 6.53% CAGR up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Condominiums And Apartments Market*Drivers | (~) % IMPACT ON CAGR FORECAST | Geographic Relevance | Impact Timeline | </w:t>
      </w:r>
    </w:p>
    <w:p>
      <w:pPr/>
      <w:r>
        <w:rPr>
          <w:rFonts w:ascii="Helvetica Light" w:hAnsi="Helvetica Light" w:cs="Helvetica Light"/>
          <w:sz w:val="24"/>
          <w:sz-cs w:val="24"/>
        </w:rPr>
        <w:t xml:space="preserve">Housing affordability constraints are increasing the preference for multi-family living | +1.2% | Global (acute in North America, Europe, tier-1 Asia-Pacific cities) | Medium term (2-4 years) | </w:t>
      </w:r>
    </w:p>
    <w:p>
      <w:pPr/>
      <w:r>
        <w:rPr>
          <w:rFonts w:ascii="Helvetica Light" w:hAnsi="Helvetica Light" w:cs="Helvetica Light"/>
          <w:sz w:val="24"/>
          <w:sz-cs w:val="24"/>
        </w:rPr>
        <w:t xml:space="preserve">Limited land availability in prime urban zones supports vertical residential projects | +1.0% | Tokyo, Shanghai, Mumbai, London, Paris, New York | Long term (≥ 4 years) | </w:t>
      </w:r>
    </w:p>
    <w:p>
      <w:pPr/>
      <w:r>
        <w:rPr>
          <w:rFonts w:ascii="Helvetica Light" w:hAnsi="Helvetica Light" w:cs="Helvetica Light"/>
          <w:sz w:val="24"/>
          <w:sz-cs w:val="24"/>
        </w:rPr>
        <w:t xml:space="preserve">Expansion of build-to-rent and professionally managed rental portfolios | +0.9% | North America, Europe, Australia, emerging Middle East | Medium term (2-4 years) | </w:t>
      </w:r>
    </w:p>
    <w:p>
      <w:pPr/>
      <w:r>
        <w:rPr>
          <w:rFonts w:ascii="Helvetica Light" w:hAnsi="Helvetica Light" w:cs="Helvetica Light"/>
          <w:sz w:val="24"/>
          <w:sz-cs w:val="24"/>
        </w:rPr>
        <w:t xml:space="preserve">Rising investor interest in income-generating residential assets | +0.8% | Global, led by North America and Europe | Medium term (2-4 years) | </w:t>
      </w:r>
    </w:p>
    <w:p>
      <w:pPr/>
      <w:r>
        <w:rPr>
          <w:rFonts w:ascii="Helvetica Light" w:hAnsi="Helvetica Light" w:cs="Helvetica Light"/>
          <w:sz w:val="24"/>
          <w:sz-cs w:val="24"/>
        </w:rPr>
        <w:t xml:space="preserve">Demand for lifestyle amenities and community living is boosting apartment absorption | +0.7% | Global (the strongest luxury tiers in Asia-Pacific and the Middle East)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condominiums and apartments market remains moderately fragmented, with regional champions dominating local share while a limited set of globally active developers cherry-pick high-growth corridors. China’s top ten still surpassed USD 138 billion of aggregate sales in 2025, yet their combined stake dipped as city-focused specialists exploited local relationships and policy niches. Competitive positioning revolves around delivery reliability, cost control, and the introduction of lifestyle-oriented amenities that command price premiums without over-stretching affordability thresholds.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pivots in 2025-2026 show incumbents hedging cyclicality through recurring-revenue businesses. China Vanke’s expansion into property services and rental operations boosted USD 6.0 billion in operating income, while Mitsui Fudosan accelerated data-center and senior-housing pipelines to diversify beyond core residential. Gulf-based Emaar ramped branded-residence licensing, fusing hospitality heritage with condominium sales to fortify brand equity. Developers also leverage proptech—Vanke’s in-house drawing a large-language model improved design validation more than fifteenfold—lowering rework and enhancing quality perception among buyers and regulators alike.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Joint ventures and public-private partnerships are increasingly common as land prices soar and entitlement risks grow. Shenzhen Metro backed Vanke with USD 4.1 billion of shareholder loans, exchanging liquidity for integrated station-area projects. In Europe, listed REITs collaborate with municipal housing bodies to deliver mixed-tenure schemes that satisfy affordable-housing quotas while preserving developer returns. Market participants unable to access patient capital or adopt tech-driven efficiencies are likely to exit or consolidate, yet the sector’s geographic dispersion suggests it will remain competitively balanced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Condominiums And Apartments Industry Leaders* Emaar Properties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Lennar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Vanke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Christie’s International Real Estate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Coldwell Banker Real Estate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Condominiums And Apartments Market Report ScopeBy Business ModelSales | </w:t>
      </w:r>
    </w:p>
    <w:p>
      <w:pPr/>
      <w:r>
        <w:rPr>
          <w:rFonts w:ascii="Helvetica Light" w:hAnsi="Helvetica Light" w:cs="Helvetica Light"/>
          <w:sz w:val="24"/>
          <w:sz-cs w:val="24"/>
        </w:rPr>
        <w:t xml:space="preserve">Rental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global value of the condominiums and apartments market in 2025?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reached USD 6.20 trillion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geographic region is forecast to grow the fastest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&amp; Africa region is projected to expand at a 6.53%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rental segment’s share and growth outlook?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Rentals held 39.8% of 2025 revenue and are expected to post a 6.05%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drive investor interest in multifamily assets?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Stable rental yields, inflation protection, and diversified cash flows make multifamily attractive to institutions.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vertical projects becoming more common in major cities?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Limited land availability and zoning that favors high-rise density encourage developers to build upward.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high interest rates affecting homebuyers?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Elevated mortgage costs reduce purchasing power, lengthening sales cycles and pushing many households toward rental options.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