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Container Shipping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[https://www.mordorintelligence.com/industry-reports/global-container-shipping-market](https://www.mordorintelligence.com/industry-reports/global-container-shipping-market)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123.14 billion |</w:t>
      </w:r>
    </w:p>
    <w:p>
      <w:pPr/>
      <w:r>
        <w:rPr>
          <w:rFonts w:ascii="Helvetica Light" w:hAnsi="Helvetica Light" w:cs="Helvetica Light"/>
          <w:sz w:val="24"/>
          <w:sz-cs w:val="24"/>
        </w:rPr>
        <w:t xml:space="preserve">| **Projected Forecast (2031)** | USD 123.14 billion |</w:t>
      </w:r>
    </w:p>
    <w:p>
      <w:pPr/>
      <w:r>
        <w:rPr>
          <w:rFonts w:ascii="Helvetica Light" w:hAnsi="Helvetica Light" w:cs="Helvetica Light"/>
          <w:sz w:val="24"/>
          <w:sz-cs w:val="24"/>
        </w:rPr>
        <w:t xml:space="preserve">| **Growth Rate (CAGR)** | 2.92 %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Container Shipping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Market: Market Share by Container Size,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Market: Market Share by Service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123.14 Billion | </w:t>
      </w:r>
    </w:p>
    <w:p>
      <w:pPr/>
      <w:r>
        <w:rPr>
          <w:rFonts w:ascii="Helvetica Light" w:hAnsi="Helvetica Light" w:cs="Helvetica Light"/>
          <w:sz w:val="24"/>
          <w:sz-cs w:val="24"/>
        </w:rPr>
        <w:t xml:space="preserve">Market Size (2031) | USD 142.07 Billion | </w:t>
      </w:r>
    </w:p>
    <w:p>
      <w:pPr/>
      <w:r>
        <w:rPr>
          <w:rFonts w:ascii="Helvetica Light" w:hAnsi="Helvetica Light" w:cs="Helvetica Light"/>
          <w:sz w:val="24"/>
          <w:sz-cs w:val="24"/>
        </w:rPr>
        <w:t xml:space="preserve">Growth Rate (2026 - 2031) | 2.92 %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Market Analysis by Mordor IntelligenceThe Container Shipping Market size is expected to grow from USD 119.65 billion in 2025 to USD 123.14 billion in 2026 and is forecast to reach USD 142.07 billion by 2031 at 2.92%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Slower fleet-wide speed, ongoing Red Sea diversions, and an expanded regulatory cost base are moderating supply even as trade agreements and e-commerce replenish underlying demand. Carriers are concentrating on network reliability, with new alliance formations targeting on-time performance above 90% while reallocating capacity toward the most resilient corridors. Terminal ownership continues to rise as a defensive hedge against landside congestion and as a lever to capture new revenue pools. Fuel cost volatility remains the primary profitability swing factor, yet dual-fuel newbuild orders and incremental efficiency upgrades are gradually lowering per-unit emissions and bunker consumption. Against this backdrop, the container shipping market is transitioning from rate-driven earnings to efficiency-driven returns as technology adoption and environmental compliance reshape operating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container size, 40-foot units captured 50.62% of container shipping market share in 2025, and the segment is projected to post a 3.74% CAGR to 2031.</w:t>
      </w:r>
    </w:p>
    <w:p>
      <w:pPr/>
      <w:r>
        <w:rPr>
          <w:rFonts w:ascii="Helvetica Light" w:hAnsi="Helvetica Light" w:cs="Helvetica Light"/>
          <w:sz w:val="24"/>
          <w:sz-cs w:val="24"/>
        </w:rPr>
        <w:t xml:space="preserve">* By container type, reefer containers are expected to expand at a 3.36% CAGR through 2031, outpacing general-purpose boxes thanks to pharmaceutical and fresh produce demand.</w:t>
      </w:r>
    </w:p>
    <w:p>
      <w:pPr/>
      <w:r>
        <w:rPr>
          <w:rFonts w:ascii="Helvetica Light" w:hAnsi="Helvetica Light" w:cs="Helvetica Light"/>
          <w:sz w:val="24"/>
          <w:sz-cs w:val="24"/>
        </w:rPr>
        <w:t xml:space="preserve">* By service, Full-Container-Load accounted for 76.25% of the container shipping market size in 2025 and is forecast to advance at a 3.12% CAGR during 2026-2031.</w:t>
      </w:r>
    </w:p>
    <w:p>
      <w:pPr/>
      <w:r>
        <w:rPr>
          <w:rFonts w:ascii="Helvetica Light" w:hAnsi="Helvetica Light" w:cs="Helvetica Light"/>
          <w:sz w:val="24"/>
          <w:sz-cs w:val="24"/>
        </w:rPr>
        <w:t xml:space="preserve">* By end-user, the FMCG and retail segment led with 26.45% share in 2025; healthcare and pharmaceuticals is projected to record a 3.62% CAGR to 2031.</w:t>
      </w:r>
    </w:p>
    <w:p>
      <w:pPr/>
      <w:r>
        <w:rPr>
          <w:rFonts w:ascii="Helvetica Light" w:hAnsi="Helvetica Light" w:cs="Helvetica Light"/>
          <w:sz w:val="24"/>
          <w:sz-cs w:val="24"/>
        </w:rPr>
        <w:t xml:space="preserve">* By geography, Asia-Pacific held 40.55% of 2025 revenue and is anticipated to maintain the fastest regional growth at a 4.12% CAGR through 2031, supported by intra-Asian trade integration and port capacity additions.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Container Shipping Market*Driver | (~) % Impact on CAGR Forecast | Geographic Relevance | Impact Timeline | </w:t>
      </w:r>
    </w:p>
    <w:p>
      <w:pPr/>
      <w:r>
        <w:rPr>
          <w:rFonts w:ascii="Helvetica Light" w:hAnsi="Helvetica Light" w:cs="Helvetica Light"/>
          <w:sz w:val="24"/>
          <w:sz-cs w:val="24"/>
        </w:rPr>
        <w:t xml:space="preserve">Rising volume of international trade | +0.8% | Global | Medium term (2-4 years) | </w:t>
      </w:r>
    </w:p>
    <w:p>
      <w:pPr/>
      <w:r>
        <w:rPr>
          <w:rFonts w:ascii="Helvetica Light" w:hAnsi="Helvetica Light" w:cs="Helvetica Light"/>
          <w:sz w:val="24"/>
          <w:sz-cs w:val="24"/>
        </w:rPr>
        <w:t xml:space="preserve">Expansion of free-trade agreements | +0.4% | EU-Mercosur, USMCA regions | Long term (≥ 4 years) | </w:t>
      </w:r>
    </w:p>
    <w:p>
      <w:pPr/>
      <w:r>
        <w:rPr>
          <w:rFonts w:ascii="Helvetica Light" w:hAnsi="Helvetica Light" w:cs="Helvetica Light"/>
          <w:sz w:val="24"/>
          <w:sz-cs w:val="24"/>
        </w:rPr>
        <w:t xml:space="preserve">Rapid e-commerce containerization | +0.6% | North America, Asia-Pacific | Short term (≤ 2 years) | </w:t>
      </w:r>
    </w:p>
    <w:p>
      <w:pPr/>
      <w:r>
        <w:rPr>
          <w:rFonts w:ascii="Helvetica Light" w:hAnsi="Helvetica Light" w:cs="Helvetica Light"/>
          <w:sz w:val="24"/>
          <w:sz-cs w:val="24"/>
        </w:rPr>
        <w:t xml:space="preserve">IMO 2023 carbon regulations drive renewal | +0.5% | Global | Medium term (2-4 years) | </w:t>
      </w:r>
    </w:p>
    <w:p>
      <w:pPr/>
      <w:r>
        <w:rPr>
          <w:rFonts w:ascii="Helvetica Light" w:hAnsi="Helvetica Light" w:cs="Helvetica Light"/>
          <w:sz w:val="24"/>
          <w:sz-cs w:val="24"/>
        </w:rPr>
        <w:t xml:space="preserve">Arctic route viability | +0.2% | Northern Europe, Asia-Pacific | Long term (≥ 4 years) | </w:t>
      </w:r>
    </w:p>
    <w:p>
      <w:pPr/>
      <w:r>
        <w:rPr>
          <w:rFonts w:ascii="Helvetica Light" w:hAnsi="Helvetica Light" w:cs="Helvetica Light"/>
          <w:sz w:val="24"/>
          <w:sz-cs w:val="24"/>
        </w:rPr>
        <w:t xml:space="preserve">AI-enabled predictive routing &amp; scheduling | +0.3%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Oligopolistic concentration defines the container shipping market, with the top 10 carriers controlling roughly 85% of deployed capacity. MSC’s USD 24 billion acquisition of Hutchison Ports terminals added 51 million TEU of annual handling capacity, cementing the line’s integrated port-to-ocean model and lifting its projected terminal market share to 15% by 2028. Alliance realignment effective January 2025 dissolved the 2M partnership and established the Maersk–Hapag-Lloyd Gemini network, targeting schedule reliability above 90% through tighter service loops and coordinated slow steaming. The Ocean Alliance extended its pact through 2032, emphasizing service breadth rather than direct consolidation.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is now the premier differentiation lever. MSC and CMA CGM deploy AI-based voyage planning and predictive maintenance suites that lower bunker consumption and unplanned downtime. DB Schenker’s Ocean Bridge platform expands data access to shippers, integrating inland milestones and carbon footprint dashboards. These digital advances heighten switching costs for cargo owners and create service quality tiers within an otherwise commoditized rate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compliance is accelerating capital expenditure across the fleet. The orderbook of more than 500 dual-fuel ships favors lines with robust balance sheets and long-term charter portfolios. Smaller regional carriers face strategic choices between niche specialization and partnership with larger alliances to satisfy shippers’ decarbonization goals. Consequently, merger and acquisition activity is likely to continue, particularly where integrated logistics capabilities align with port ownership.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 Shipping Industry Leaders* MSC Mediterranean Shipping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A.P. Moller – Maersk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CMA CGM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COSCO Shipping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Hapag-Lloyd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ocean container shipping services where cargo is moved in standardized containers on global trade lanes, and revenue is counted for the transport service provided to shippers.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include bulk or tanker shipping, inland-only trucking or rail movements, port terminal handling charges, or container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Container Size* 20-Foot (TEU)</w:t>
      </w:r>
    </w:p>
    <w:p>
      <w:pPr/>
      <w:r>
        <w:rPr>
          <w:rFonts w:ascii="Helvetica Light" w:hAnsi="Helvetica Light" w:cs="Helvetica Light"/>
          <w:sz w:val="24"/>
          <w:sz-cs w:val="24"/>
        </w:rPr>
        <w:t xml:space="preserve">* 40-Foot (FEU)</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Container Type* General</w:t>
      </w:r>
    </w:p>
    <w:p>
      <w:pPr/>
      <w:r>
        <w:rPr>
          <w:rFonts w:ascii="Helvetica Light" w:hAnsi="Helvetica Light" w:cs="Helvetica Light"/>
          <w:sz w:val="24"/>
          <w:sz-cs w:val="24"/>
        </w:rPr>
        <w:t xml:space="preserve">* Reefer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Full-Container-Load (FCL)</w:t>
      </w:r>
    </w:p>
    <w:p>
      <w:pPr/>
      <w:r>
        <w:rPr>
          <w:rFonts w:ascii="Helvetica Light" w:hAnsi="Helvetica Light" w:cs="Helvetica Light"/>
          <w:sz w:val="24"/>
          <w:sz-cs w:val="24"/>
        </w:rPr>
        <w:t xml:space="preserve">* Less-Than-Container-Load (LCL)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FMCG and Retail</w:t>
      </w:r>
    </w:p>
    <w:p>
      <w:pPr/>
      <w:r>
        <w:rPr>
          <w:rFonts w:ascii="Helvetica Light" w:hAnsi="Helvetica Light" w:cs="Helvetica Light"/>
          <w:sz w:val="24"/>
          <w:sz-cs w:val="24"/>
        </w:rPr>
        <w:t xml:space="preserve">* Manufacturing and Automotive</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Electronics and Electrical Equipment</w:t>
      </w:r>
    </w:p>
    <w:p>
      <w:pPr/>
      <w:r>
        <w:rPr>
          <w:rFonts w:ascii="Helvetica Light" w:hAnsi="Helvetica Light" w:cs="Helvetica Light"/>
          <w:sz w:val="24"/>
          <w:sz-cs w:val="24"/>
        </w:rPr>
        <w:t xml:space="preserve">* Industrial Chemicals and Raw Materials</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Container Shipping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Container Shipping Market size is expected to reach USD 123.14 billion in 2026 and grow at a CAGR of 2.92% to reach USD 142.07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Container Shipping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2026, the Container Shipping Market size is expected to reach USD 123.14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value of the container shipping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container shipping market is forecast to reach USD 142.07 billion by 2031 at a 2.92%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container size holds the largest share of global traffic?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40-foot container segment led with 50.62% share of 2025 revenue and is projected to maintain dominance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container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post the highest regional CAGR at 4.12% between 2026 and 2031, buoyed by intra-Asian trade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reefer containers gaining importance?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demand for temperature-controlled pharmaceuticals and perishables is driving reefer container volumes, which are set to grow at a 3.36%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environmental regulations affecting vessel orders?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IMO energy-efficiency rules and EU carbon costs are accelerating orders for dual-fuel ships, with more than 500 such vessels on order as of late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largest recent port acquisition?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MSC's purchase of Hutchison Ports' global terminals for EUR 22.765 billion (USD 25.12 billion) in Mar 2025 added 51 million TEU of handling capacity and marked the biggest port asset deal on record.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