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Container Terminal Operations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Maritime, Port &amp; Container Operations (Logistics &amp; Supply Chain)  </w:t>
      </w:r>
    </w:p>
    <w:p>
      <w:pPr/>
      <w:r>
        <w:rPr>
          <w:rFonts w:ascii="Helvetica Light" w:hAnsi="Helvetica Light" w:cs="Helvetica Light"/>
          <w:sz w:val="24"/>
          <w:sz-cs w:val="24"/>
        </w:rPr>
        <w:t xml:space="preserve">&gt; **Source:** [https://www.mordorintelligence.com/industry-reports/global-container-terminal-operations-market](https://www.mordorintelligence.com/industry-reports/global-container-terminal-operations-market)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78.39 billion |</w:t>
      </w:r>
    </w:p>
    <w:p>
      <w:pPr/>
      <w:r>
        <w:rPr>
          <w:rFonts w:ascii="Helvetica Light" w:hAnsi="Helvetica Light" w:cs="Helvetica Light"/>
          <w:sz w:val="24"/>
          <w:sz-cs w:val="24"/>
        </w:rPr>
        <w:t xml:space="preserve">| **Projected Forecast (2031)** | USD 78.39 billion |</w:t>
      </w:r>
    </w:p>
    <w:p>
      <w:pPr/>
      <w:r>
        <w:rPr>
          <w:rFonts w:ascii="Helvetica Light" w:hAnsi="Helvetica Light" w:cs="Helvetica Light"/>
          <w:sz w:val="24"/>
          <w:sz-cs w:val="24"/>
        </w:rPr>
        <w:t xml:space="preserve">| **Growth Rate (CAGR)** | 3.96 %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Container Terminal Operations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![Container Terminal Operations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![Container Terminal Operations Market Share by Service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![Container Terminal Operations Market Share by Automation Level,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![Container Terminal Operations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78.39 Billion | </w:t>
      </w:r>
    </w:p>
    <w:p>
      <w:pPr/>
      <w:r>
        <w:rPr>
          <w:rFonts w:ascii="Helvetica Light" w:hAnsi="Helvetica Light" w:cs="Helvetica Light"/>
          <w:sz w:val="24"/>
          <w:sz-cs w:val="24"/>
        </w:rPr>
        <w:t xml:space="preserve">Market Size (2031) | USD 95.19 Billion | </w:t>
      </w:r>
    </w:p>
    <w:p>
      <w:pPr/>
      <w:r>
        <w:rPr>
          <w:rFonts w:ascii="Helvetica Light" w:hAnsi="Helvetica Light" w:cs="Helvetica Light"/>
          <w:sz w:val="24"/>
          <w:sz-cs w:val="24"/>
        </w:rPr>
        <w:t xml:space="preserve">Growth Rate (2026 - 2031) | 3.96 %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Container Terminal Operations Market Analysis by Mordor IntelligenceThe Container Terminal Operations Market size was valued at USD 75.40 billion in 2025 and estimated to grow from USD 78.39 billion in 2026 to reach USD 95.19 billion by 2031, at a CAGR of 3.96%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Robust demand for trade-facilitating infrastructure, the arrival of container vessels above 18,000 TEU, and steady investment in digital automation underpin this trajectory. Stevedoring revenues remain dominant, but rapid growth is shifting toward transportation and value-added logistics as operators extend inland. Asia-Pacific retains leadership with 41% 2024 share, supported by 52 fully automated Chinese ports and continuing public investment Business-Standard. Consolidation is gathering pace as operators chase scale advantages, while ESG-linked financing is lowering capital costs for greener equipment Maersk.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stevedoring led with 41.62% of container terminal operations market share in 2025; transportation services are projected to log the fastest 3.98% CAGR through 2031.</w:t>
      </w:r>
    </w:p>
    <w:p>
      <w:pPr/>
      <w:r>
        <w:rPr>
          <w:rFonts w:ascii="Helvetica Light" w:hAnsi="Helvetica Light" w:cs="Helvetica Light"/>
          <w:sz w:val="24"/>
          <w:sz-cs w:val="24"/>
        </w:rPr>
        <w:t xml:space="preserve">* By ownership model, state-owned facilities held 50.55% share in 2025, whereas public-private partnerships are advancing at a 4.62% CAGR.</w:t>
      </w:r>
    </w:p>
    <w:p>
      <w:pPr/>
      <w:r>
        <w:rPr>
          <w:rFonts w:ascii="Helvetica Light" w:hAnsi="Helvetica Light" w:cs="Helvetica Light"/>
          <w:sz w:val="24"/>
          <w:sz-cs w:val="24"/>
        </w:rPr>
        <w:t xml:space="preserve">* By automation level, manual terminals still accounted for 68.41% share in 2025, yet fully automated sites are expanding at a 4.02% CAGR.</w:t>
      </w:r>
    </w:p>
    <w:p>
      <w:pPr/>
      <w:r>
        <w:rPr>
          <w:rFonts w:ascii="Helvetica Light" w:hAnsi="Helvetica Light" w:cs="Helvetica Light"/>
          <w:sz w:val="24"/>
          <w:sz-cs w:val="24"/>
        </w:rPr>
        <w:t xml:space="preserve">* By container type, general boxes commanded 60.44% share in 2025, while reefer throughput is forecast to accelerate at 4.29% CAGR.</w:t>
      </w:r>
    </w:p>
    <w:p>
      <w:pPr/>
      <w:r>
        <w:rPr>
          <w:rFonts w:ascii="Helvetica Light" w:hAnsi="Helvetica Light" w:cs="Helvetica Light"/>
          <w:sz w:val="24"/>
          <w:sz-cs w:val="24"/>
        </w:rPr>
        <w:t xml:space="preserve">* Geographically, Asia-Pacific captured 40.72% share in 2025 and is on track for the fastest 4.52%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Container Terminal Operations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Impact on CAGR Forecast | Geographic Relevance | Impact Timeline | </w:t>
      </w:r>
    </w:p>
    <w:p>
      <w:pPr/>
      <w:r>
        <w:rPr>
          <w:rFonts w:ascii="Helvetica Light" w:hAnsi="Helvetica Light" w:cs="Helvetica Light"/>
          <w:sz w:val="24"/>
          <w:sz-cs w:val="24"/>
        </w:rPr>
        <w:t xml:space="preserve">Surge in mega-vessel deployments (≥18k TEU) | +0.8% | Global, with concentration in Asia-Pacific and Europe | Medium term (2-4 years) | </w:t>
      </w:r>
    </w:p>
    <w:p>
      <w:pPr/>
      <w:r>
        <w:rPr>
          <w:rFonts w:ascii="Helvetica Light" w:hAnsi="Helvetica Light" w:cs="Helvetica Light"/>
          <w:sz w:val="24"/>
          <w:sz-cs w:val="24"/>
        </w:rPr>
        <w:t xml:space="preserve">Digitised supply-chain visibility demands from BCOs | +0.6% | Global, led by North America and Europe | Short term (≤ 2 years) | </w:t>
      </w:r>
    </w:p>
    <w:p>
      <w:pPr/>
      <w:r>
        <w:rPr>
          <w:rFonts w:ascii="Helvetica Light" w:hAnsi="Helvetica Light" w:cs="Helvetica Light"/>
          <w:sz w:val="24"/>
          <w:sz-cs w:val="24"/>
        </w:rPr>
        <w:t xml:space="preserve">Government-led port capacity expansions | +0.9% | Asia-Pacific core, spill-over to MEA and South America | Long term (≥ 4 years) | </w:t>
      </w:r>
    </w:p>
    <w:p>
      <w:pPr/>
      <w:r>
        <w:rPr>
          <w:rFonts w:ascii="Helvetica Light" w:hAnsi="Helvetica Light" w:cs="Helvetica Light"/>
          <w:sz w:val="24"/>
          <w:sz-cs w:val="24"/>
        </w:rPr>
        <w:t xml:space="preserve">Near-shoring fuelling intra-regional feeder volumes | +0.5% | North America, Europe, with emerging impact in Asia-Pacific | Medium term (2-4 years) | </w:t>
      </w:r>
    </w:p>
    <w:p>
      <w:pPr/>
      <w:r>
        <w:rPr>
          <w:rFonts w:ascii="Helvetica Light" w:hAnsi="Helvetica Light" w:cs="Helvetica Light"/>
          <w:sz w:val="24"/>
          <w:sz-cs w:val="24"/>
        </w:rPr>
        <w:t xml:space="preserve">ESG-linked financing lowering cost of green terminal upgrades | +0.4% | Global, with early adoption in Europe and North America | Long term (≥ 4 years) | </w:t>
      </w:r>
    </w:p>
    <w:p>
      <w:pPr/>
      <w:r>
        <w:rPr>
          <w:rFonts w:ascii="Helvetica Light" w:hAnsi="Helvetica Light" w:cs="Helvetica Light"/>
          <w:sz w:val="24"/>
          <w:sz-cs w:val="24"/>
        </w:rPr>
        <w:t xml:space="preserve">Emerging Arctic sea-route creating new hub requirements | +0.2% | Northern Europe, Russia, with connectivity to Asia-Pacific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operators such as PSA International, APM Terminals, and Hutchison Ports collectively control more than half of world throughput, yielding moderate concentration. Scale unlocks procurement leverage, integrated TOS platforms, and cross-regional customer packages, but rising PPP concessions invite region-specific challengers. CMA CGM’s purchase of Santos Brasil assets and AD Ports Group’s African portfolio show how acquisitions extend network reach and market power.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Automation acts as a strategic moat: early adopters report 25% lower per-move labor costs and 15% higher crane productivity. Vendors like ZPMC and Kalmar partner with software specialists to deliver “terminal-as-a-service” models that bundle hardware, analytics, and maintenance under multiyear contracts. ESG mandates further stratify players; those able to tap green finance at discount rates can front-load electrification, reinforcing customer appeal.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Regulatory harmonization is progressing, with ISO 14001 and ISPS certifications becoming table stakes for major carrier calls. The convergence of technology, finance, and regulation is sharpening competitive boundaries and establishing new benchmarks in the container terminal operations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Container Terminal Operations Industry Leaders* APM Terminals (A. P. Moller-Maersk)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PSA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Hutchison Ports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DP World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COSCO Shipping Ports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methodology, the market covers revenues earned from operating container terminals at seaports, including core activities like vessel-to-shore handling, yard operations, and related terminal-side services that support container flow through the 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ocean freight services, inland trucking or rail line-haul outside the terminal, ship agency, and non-container bulk terminal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Stevedoring (Vessel/Quay Ops)</w:t>
      </w:r>
    </w:p>
    <w:p>
      <w:pPr/>
      <w:r>
        <w:rPr>
          <w:rFonts w:ascii="Helvetica Light" w:hAnsi="Helvetica Light" w:cs="Helvetica Light"/>
          <w:sz w:val="24"/>
          <w:sz-cs w:val="24"/>
        </w:rPr>
        <w:t xml:space="preserve">* Cargo Handling</w:t>
      </w:r>
    </w:p>
    <w:p>
      <w:pPr/>
      <w:r>
        <w:rPr>
          <w:rFonts w:ascii="Helvetica Light" w:hAnsi="Helvetica Light" w:cs="Helvetica Light"/>
          <w:sz w:val="24"/>
          <w:sz-cs w:val="24"/>
        </w:rPr>
        <w:t xml:space="preserve">* Transportation</w:t>
      </w:r>
    </w:p>
    <w:p>
      <w:pPr/>
      <w:r>
        <w:rPr>
          <w:rFonts w:ascii="Helvetica Light" w:hAnsi="Helvetica Light" w:cs="Helvetica Light"/>
          <w:sz w:val="24"/>
          <w:sz-cs w:val="24"/>
        </w:rPr>
        <w:t xml:space="preserve">* Other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Ownership Model* State-Owned</w:t>
      </w:r>
    </w:p>
    <w:p>
      <w:pPr/>
      <w:r>
        <w:rPr>
          <w:rFonts w:ascii="Helvetica Light" w:hAnsi="Helvetica Light" w:cs="Helvetica Light"/>
          <w:sz w:val="24"/>
          <w:sz-cs w:val="24"/>
        </w:rPr>
        <w:t xml:space="preserve">* Public-Private Partnership</w:t>
      </w:r>
    </w:p>
    <w:p>
      <w:pPr/>
      <w:r>
        <w:rPr>
          <w:rFonts w:ascii="Helvetica Light" w:hAnsi="Helvetica Light" w:cs="Helvetica Light"/>
          <w:sz w:val="24"/>
          <w:sz-cs w:val="24"/>
        </w:rPr>
        <w:t xml:space="preserve">* Private / Independent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Automation Level* Manual</w:t>
      </w:r>
    </w:p>
    <w:p>
      <w:pPr/>
      <w:r>
        <w:rPr>
          <w:rFonts w:ascii="Helvetica Light" w:hAnsi="Helvetica Light" w:cs="Helvetica Light"/>
          <w:sz w:val="24"/>
          <w:sz-cs w:val="24"/>
        </w:rPr>
        <w:t xml:space="preserve">* Semi-Automated</w:t>
      </w:r>
    </w:p>
    <w:p>
      <w:pPr/>
      <w:r>
        <w:rPr>
          <w:rFonts w:ascii="Helvetica Light" w:hAnsi="Helvetica Light" w:cs="Helvetica Light"/>
          <w:sz w:val="24"/>
          <w:sz-cs w:val="24"/>
        </w:rPr>
        <w:t xml:space="preserve">* Fully Automated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Container Type* General</w:t>
      </w:r>
    </w:p>
    <w:p>
      <w:pPr/>
      <w:r>
        <w:rPr>
          <w:rFonts w:ascii="Helvetica Light" w:hAnsi="Helvetica Light" w:cs="Helvetica Light"/>
          <w:sz w:val="24"/>
          <w:sz-cs w:val="24"/>
        </w:rPr>
        <w:t xml:space="preserve">* Reefer</w:t>
      </w:r>
    </w:p>
    <w:p>
      <w:pPr/>
      <w:r>
        <w:rPr>
          <w:rFonts w:ascii="Helvetica Light" w:hAnsi="Helvetica Light" w:cs="Helvetica Light"/>
          <w:sz w:val="24"/>
          <w:sz-cs w:val="24"/>
        </w:rPr>
        <w:t xml:space="preserve">* OOG / Project</w:t>
      </w:r>
    </w:p>
    <w:p>
      <w:pPr/>
      <w:r>
        <w:rPr>
          <w:rFonts w:ascii="Helvetica Light" w:hAnsi="Helvetica Light" w:cs="Helvetica Light"/>
          <w:sz w:val="24"/>
          <w:sz-cs w:val="24"/>
        </w:rPr>
        <w:t xml:space="preserve">* Dangerous Goods (DG)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 East Asia (Singapore, Malaysia, Thailand, Indonesia, Vietnam, and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and Luxembourg)</w:t>
      </w:r>
    </w:p>
    <w:p>
      <w:pPr/>
      <w:r>
        <w:rPr>
          <w:rFonts w:ascii="Helvetica Light" w:hAnsi="Helvetica Light" w:cs="Helvetica Light"/>
          <w:sz w:val="24"/>
          <w:sz-cs w:val="24"/>
        </w:rPr>
        <w:t xml:space="preserve">* NORDICS (Denmark, Finland, Iceland, Norway, and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of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2026 value of the container terminal operations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stands at USD 78.39 billion in 2026, supported by mega-vessel calls and growing automation deployments.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will global terminal revenues grow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Revenues are projected to expand at a 3.96% CAGR, reaching USD 95.19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current throughput?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accounts for 40.72% of 2025 volume, aided by extensive Chinese and Southeast Asian capacity expansions.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segment is growing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Transportation services tied to inland logistics are forecast for a 3.98% CAGR, outpacing traditional stevedoring.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share do automated terminals hold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Fully automated sites represent 31.59% of global facilities, but they are advancing at 4.02% CAGR as capital costs fall.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ESG mandates influencing investment?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Access to lower-cost, sustainability-linked loans is accelerating electrification and green equipment adoption across major hubs.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