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E-Brokerage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Capital Markets, Securities &amp; Trading (Financial Services &amp; Investment Intelligence)  </w:t>
      </w:r>
    </w:p>
    <w:p>
      <w:pPr/>
      <w:r>
        <w:rPr>
          <w:rFonts w:ascii="Helvetica Light" w:hAnsi="Helvetica Light" w:cs="Helvetica Light"/>
          <w:sz w:val="24"/>
          <w:sz-cs w:val="24"/>
        </w:rPr>
        <w:t xml:space="preserve">&gt; **Source:** [https://www.mordorintelligence.com/industry-reports/global-e-brokerages-market](https://www.mordorintelligence.com/industry-reports/global-e-brokerages-market)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6.46 billion |</w:t>
      </w:r>
    </w:p>
    <w:p>
      <w:pPr/>
      <w:r>
        <w:rPr>
          <w:rFonts w:ascii="Helvetica Light" w:hAnsi="Helvetica Light" w:cs="Helvetica Light"/>
          <w:sz w:val="24"/>
          <w:sz-cs w:val="24"/>
        </w:rPr>
        <w:t xml:space="preserve">| **Projected Forecast (2031)** | USD 6.46 billion |</w:t>
      </w:r>
    </w:p>
    <w:p>
      <w:pPr/>
      <w:r>
        <w:rPr>
          <w:rFonts w:ascii="Helvetica Light" w:hAnsi="Helvetica Light" w:cs="Helvetica Light"/>
          <w:sz w:val="24"/>
          <w:sz-cs w:val="24"/>
        </w:rPr>
        <w:t xml:space="preserve">| **Growth Rate (CAGR)** | 6.78 %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E-Brokerage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 Market Share by Investor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 Market Share by Services Offered,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6.46 Billion | </w:t>
      </w:r>
    </w:p>
    <w:p>
      <w:pPr/>
      <w:r>
        <w:rPr>
          <w:rFonts w:ascii="Helvetica Light" w:hAnsi="Helvetica Light" w:cs="Helvetica Light"/>
          <w:sz w:val="24"/>
          <w:sz-cs w:val="24"/>
        </w:rPr>
        <w:t xml:space="preserve">Market Size (2031) | USD 8.97 Billion | </w:t>
      </w:r>
    </w:p>
    <w:p>
      <w:pPr/>
      <w:r>
        <w:rPr>
          <w:rFonts w:ascii="Helvetica Light" w:hAnsi="Helvetica Light" w:cs="Helvetica Light"/>
          <w:sz w:val="24"/>
          <w:sz-cs w:val="24"/>
        </w:rPr>
        <w:t xml:space="preserve">Growth Rate (2026 - 2031) | 6.78 %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Market Analysis by Mordor IntelligenceThe E-Brokerage market size is expected to grow from USD 6.05 billion in 2025 to USD 6.46 billion in 2026 and is forecast to reach USD 8.97 billion by 2031 at 6.78%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Mobile-first design, zero-commission pricing, and rapid digital onboarding continue to redirect investor traffic from legacy full-service houses toward streamlined apps that promise low friction and intuitive interfaces. Scale efficiencies gained through cloud infrastructure and artificial-intelligence-driven order routing reduce operating costs and allow leading platforms to widen their product suites without raising headline fees. At the same time, regulators intensify scrutiny of payment-for-order-flow (PFOF) income, cybersecurity lapses, and settlement cycles, introducing execution risks that can alter competitive positioning. Shifting consumer demographics, notably a younger cohort comfortable with fractional investing and community features, strengthen recurring engagement and help sustain the medium-term growth trajectory of the e-brokerage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investor type, retail investors controlled 62.78% of the e-brokerage market share in 2025 and are expanding at an 11.05% CAGR through 2031.</w:t>
      </w:r>
    </w:p>
    <w:p>
      <w:pPr/>
      <w:r>
        <w:rPr>
          <w:rFonts w:ascii="Helvetica Light" w:hAnsi="Helvetica Light" w:cs="Helvetica Light"/>
          <w:sz w:val="24"/>
          <w:sz-cs w:val="24"/>
        </w:rPr>
        <w:t xml:space="preserve">* By services offered, discount brokers led with 50.74% share of the e-brokerage market size in 2025, while robo-advisory services are advancing at a 11.72% CAGR to 2031.</w:t>
      </w:r>
    </w:p>
    <w:p>
      <w:pPr/>
      <w:r>
        <w:rPr>
          <w:rFonts w:ascii="Helvetica Light" w:hAnsi="Helvetica Light" w:cs="Helvetica Light"/>
          <w:sz w:val="24"/>
          <w:sz-cs w:val="24"/>
        </w:rPr>
        <w:t xml:space="preserve">* By operation, domestic trading held 67.62% share of the e-brokerage market size in 2025; foreign operations recorded the highest projected CAGR at 12.88% through 2031.</w:t>
      </w:r>
    </w:p>
    <w:p>
      <w:pPr/>
      <w:r>
        <w:rPr>
          <w:rFonts w:ascii="Helvetica Light" w:hAnsi="Helvetica Light" w:cs="Helvetica Light"/>
          <w:sz w:val="24"/>
          <w:sz-cs w:val="24"/>
        </w:rPr>
        <w:t xml:space="preserve">* By geography, the Asia-Pacific region is projected to post the fastest 14.35% CAGR through 2031, while North America remains the largest regional revenue contributor at 40.88%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E-Brokerage Market*Driver | (~) % Impact on CAGR Forecast | Geographic Relevance | Impact Timeline | </w:t>
      </w:r>
    </w:p>
    <w:p>
      <w:pPr/>
      <w:r>
        <w:rPr>
          <w:rFonts w:ascii="Helvetica Light" w:hAnsi="Helvetica Light" w:cs="Helvetica Light"/>
          <w:sz w:val="24"/>
          <w:sz-cs w:val="24"/>
        </w:rPr>
        <w:t xml:space="preserve">Rising smartphone penetration enabling mobile trading | +2.1% | Global, strongest in APAC and emerging markets | Medium term (2-4 years) | </w:t>
      </w:r>
    </w:p>
    <w:p>
      <w:pPr/>
      <w:r>
        <w:rPr>
          <w:rFonts w:ascii="Helvetica Light" w:hAnsi="Helvetica Light" w:cs="Helvetica Light"/>
          <w:sz w:val="24"/>
          <w:sz-cs w:val="24"/>
        </w:rPr>
        <w:t xml:space="preserve">Lower brokerage fees due to intense price competition | +1.8% | North America, Europe, global diffusion | Short term (≤ 2 years) | </w:t>
      </w:r>
    </w:p>
    <w:p>
      <w:pPr/>
      <w:r>
        <w:rPr>
          <w:rFonts w:ascii="Helvetica Light" w:hAnsi="Helvetica Light" w:cs="Helvetica Light"/>
          <w:sz w:val="24"/>
          <w:sz-cs w:val="24"/>
        </w:rPr>
        <w:t xml:space="preserve">Growing retail-investor appetite post-pandemic | +1.5% | North America, Europe, expanding to APAC | Medium term (2-4 years) | </w:t>
      </w:r>
    </w:p>
    <w:p>
      <w:pPr/>
      <w:r>
        <w:rPr>
          <w:rFonts w:ascii="Helvetica Light" w:hAnsi="Helvetica Light" w:cs="Helvetica Light"/>
          <w:sz w:val="24"/>
          <w:sz-cs w:val="24"/>
        </w:rPr>
        <w:t xml:space="preserve">Regulatory push for seamless e-KYC and digital onboarding | +1.2% | APAC, MEA, EU T+1 settlement | Long term (≥ 4 years) | </w:t>
      </w:r>
    </w:p>
    <w:p>
      <w:pPr/>
      <w:r>
        <w:rPr>
          <w:rFonts w:ascii="Helvetica Light" w:hAnsi="Helvetica Light" w:cs="Helvetica Light"/>
          <w:sz w:val="24"/>
          <w:sz-cs w:val="24"/>
        </w:rPr>
        <w:t xml:space="preserve">Integration of AI-driven robo-advisory within trading apps | +0.8% | North America, Europe, APAC next | Long term (≥ 4 years) | </w:t>
      </w:r>
    </w:p>
    <w:p>
      <w:pPr/>
      <w:r>
        <w:rPr>
          <w:rFonts w:ascii="Helvetica Light" w:hAnsi="Helvetica Light" w:cs="Helvetica Light"/>
          <w:sz w:val="24"/>
          <w:sz-cs w:val="24"/>
        </w:rPr>
        <w:t xml:space="preserve">Fractional-share and micro-investing features broadening access | +0.6% | Global, emerging-market focus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e-brokerage market displays a moderate level of concentration, with a handful of dominant players alongside a broad mix of regional firms and emerging platforms. The industry is shaped by trends like mobile-first user acquisition, zero-commission pricing models, and AI-driven personalization. Platforms distinguish themselves through features such as social trading, fractional share investing, and embedded financial tools. Charles Schwab uses its expanded scale from recent acquisitions to grow its physical presence and enhance digital offerings, including crypto services. Meanwhile, Robinhood is evolving from a low-cost brokerage into a full-service fintech platform through targeted acquisitions and broader product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competition intensifies, traditional lines between discount brokers, robo-advisors, and full-service wealth managers are becoming increasingly blurred. This has driven a race for innovation, particularly in user experience and platform integration. White-space opportunities are emerging in areas like embedded finance through super-apps and tokenized trading platforms. Companies such as SBI Holdings and MercadoLibre demonstrate how strategic use of blockchain and fintech ecosystems can redefine market leadership. These developments create space for both newcomers and incumbents to explore fresh growth avenues.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disruptors are targeting underserved market segments using tools like micro-investing and community-driven social trading. In response, established firms are adopting acquisition strategies and forming partnerships to stay competitive. Regulatory filings show a growing focus on technology investment, especially in cybersecurity and artificial intelligence. These capabilities are becoming key differentiators in platform performance and client trust. Strong compliance infrastructures are also proving essential, particularly for firms aiming to expand internationally or attract institutional investors.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E-Brokerage Industry Leaders* Charles Schwab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Robinhood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Fidelity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Interactive Brokers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TD Ameritrade (Morgan Stanley)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 define the global e-brokerages market as revenue earned from online brokerage services where investors place, manage, and execute trades through web or app-based platforms, supported by brokerage-led account, execution, and related service features.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excludes offline-only brokerage activity that is executed fully through physical branches without online trading access.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Investor Type* Retail</w:t>
      </w:r>
    </w:p>
    <w:p>
      <w:pPr/>
      <w:r>
        <w:rPr>
          <w:rFonts w:ascii="Helvetica Light" w:hAnsi="Helvetica Light" w:cs="Helvetica Light"/>
          <w:sz w:val="24"/>
          <w:sz-cs w:val="24"/>
        </w:rPr>
        <w:t xml:space="preserve">* Institutional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Services Offered* Full-Service Brokers</w:t>
      </w:r>
    </w:p>
    <w:p>
      <w:pPr/>
      <w:r>
        <w:rPr>
          <w:rFonts w:ascii="Helvetica Light" w:hAnsi="Helvetica Light" w:cs="Helvetica Light"/>
          <w:sz w:val="24"/>
          <w:sz-cs w:val="24"/>
        </w:rPr>
        <w:t xml:space="preserve">* Discount Brokers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Operation* Domestic</w:t>
      </w:r>
    </w:p>
    <w:p>
      <w:pPr/>
      <w:r>
        <w:rPr>
          <w:rFonts w:ascii="Helvetica Light" w:hAnsi="Helvetica Light" w:cs="Helvetica Light"/>
          <w:sz w:val="24"/>
          <w:sz-cs w:val="24"/>
        </w:rPr>
        <w:t xml:space="preserve">* Foreign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e-brokerage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e-brokerage market size is USD 6.46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CAGR for global e-brokerage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grow at a 6.78%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expands the fastest over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14.35% CAGR driven by discount brokerage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the EU PFOF ban affect brokers?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Brokers must pivot toward subscription fees and value-added services to replace lost PFOF income from 2026 onward.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trend most influences platform strategy?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AI-based robo-advisory tools and personalized analytics increasingly shape user engagement and revenue diversification.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