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Endoscopy Devices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Medical Devices &amp; Equipment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https://www.mordorintelligence.com/industry-reports/global-endoscopy-devices-market-industry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Endoscopy Devices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42.73 Billion | </w:t>
      </w:r>
    </w:p>
    <w:p>
      <w:pPr/>
      <w:r>
        <w:rPr>
          <w:rFonts w:ascii="Helvetica" w:hAnsi="Helvetica" w:cs="Helvetica"/>
          <w:sz w:val="24"/>
          <w:sz-cs w:val="24"/>
          <w:spacing w:val="0"/>
          <w:color w:val="000000"/>
        </w:rPr>
        <w:t xml:space="preserve">Market Size (2031) | USD 58.71 Billion | </w:t>
      </w:r>
    </w:p>
    <w:p>
      <w:pPr/>
      <w:r>
        <w:rPr>
          <w:rFonts w:ascii="Helvetica" w:hAnsi="Helvetica" w:cs="Helvetica"/>
          <w:sz w:val="24"/>
          <w:sz-cs w:val="24"/>
          <w:spacing w:val="0"/>
          <w:color w:val="000000"/>
        </w:rPr>
        <w:t xml:space="preserve">Growth Rate (2026 - 2031) | 6.56 %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frica[https://www.mordorintelligence.com/industry-reports/africa-endoscopy-market]Argentina[https://www.mordorintelligence.com/industry-reports/argentina-endoscopy-devices-market]Australia[https://www.mordorintelligence.com/industry-reports/australia-endoscopy-devices-market]Brazil[https://www.mordorintelligence.com/industry-reports/brazil-endoscopy-devices-market]Canada[https://www.mordorintelligence.com/industry-reports/canada-endoscopy-devices-market]Chile[https://www.mordorintelligence.com/industry-reports/chile-endoscopy-devices-market]China[https://www.mordorintelligence.com/industry-reports/china-endoscopy-devices-market]France[https://www.mordorintelligence.com/industry-reports/france-endoscopy-devices-market]Germany[https://www.mordorintelligence.com/industry-reports/germany-endoscopy-devices-market]India[https://www.mordorintelligence.com/industry-reports/india-endoscopy-devices-market]Italy[https://www.mordorintelligence.com/industry-reports/italy-endoscopy-devices-market]Japan[https://www.mordorintelligence.com/industry-reports/japan-endoscopy-devices-market]Mexico[https://www.mordorintelligence.com/industry-reports/mexico-endoscopy-devices-market]Netherlands[https://www.mordorintelligence.com/industry-reports/netherlands-endoscopy-devices-market]Saudi Arabia[https://www.mordorintelligence.com/industry-reports/saudi-arabia-endoscopy-devices-market]South Africa[https://www.mordorintelligence.com/industry-reports/south-africa-endoscopy-devices-market]South Korea[https://www.mordorintelligence.com/industry-reports/south-korea-endoscopy-devices-market]Spain[https://www.mordorintelligence.com/industry-reports/spain-endoscopy-devices-market]Sweden[https://www.mordorintelligence.com/industry-reports/sweden-endoscopy-devices-market]United Arab Emirates[https://www.mordorintelligence.com/industry-reports/uae-endoscopy-devices-market]United Kingdom[https://www.mordorintelligence.com/industry-reports/uk-endoscopy-devices-market]United States[https://www.mordorintelligence.com/industry-reports/usa-endoscopy-devices-market]</w:t>
      </w:r>
    </w:p>
    <w:p>
      <w:pPr/>
      <w:r>
        <w:rPr>
          <w:rFonts w:ascii="Helvetica" w:hAnsi="Helvetica" w:cs="Helvetica"/>
          <w:sz w:val="24"/>
          <w:sz-cs w:val="24"/>
          <w:spacing w:val="0"/>
          <w:color w:val="000000"/>
        </w:rPr>
        <w:t xml:space="preserve">Endoscopy Devices Market Analysis by Mordor IntelligenceThe Endoscopy Devices Market size is projected to expand from USD 40.10 billion in 2025 and USD 42.73 billion in 2026 to USD 58.71 billion by 2031, registering a CAGR of 6.56% between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stems from Medicareâ€™s 2024 decision to remove cost-sharing for screening colonoscopies, rapid upgrades to 4K visualization towers, and faster adoption of artificial-intelligence guidance that boosts adenoma detection rates. Hospitals are shortening replacement cycles for aging platforms, while ambulatory surgical centers (ASCs) scale purchases of compact integrated systems that fit single-specialty footprints. Tight infection-control standards, especially after 12 separate U.S. Food and Drug Administration (FDA) safety communications between 2024 and 2026, are tilting procurement toward single-use scopes despite higher per-procedure costs. Meanwhile, emerging reimbursement schemes in China, India, and Japan are expanding the addressable patient base, cementing long-term volume visibility across both diagnostic and therapeutic procedures.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device type, visualization equipment accounted for the fastest growth, advancing at an 8.25% CAGR through 2031 as hospitals and ASCs swapped standard-definition platforms for AI-ready 4K systems.</w:t>
      </w:r>
    </w:p>
    <w:p>
      <w:pPr/>
      <w:r>
        <w:rPr>
          <w:rFonts w:ascii="Helvetica" w:hAnsi="Helvetica" w:cs="Helvetica"/>
          <w:sz w:val="24"/>
          <w:sz-cs w:val="24"/>
          <w:spacing w:val="0"/>
          <w:color w:val="000000"/>
        </w:rPr>
        <w:t xml:space="preserve">* By application, gastrointestinal endoscopy led with 55.53% of 2025 revenue, while laparoscopy registered the steepest expansion, rising at an 8.85% CAGR on the back of robotic-assisted oncologic procedures.</w:t>
      </w:r>
    </w:p>
    <w:p>
      <w:pPr/>
      <w:r>
        <w:rPr>
          <w:rFonts w:ascii="Helvetica" w:hAnsi="Helvetica" w:cs="Helvetica"/>
          <w:sz w:val="24"/>
          <w:sz-cs w:val="24"/>
          <w:spacing w:val="0"/>
          <w:color w:val="000000"/>
        </w:rPr>
        <w:t xml:space="preserve">* By usability, reprocessed products retained 80.63% share in 2025, yet single-use scopes are on track for a 10.87% CAGR, propelled by infection-control mandates that followed repeated contamination alerts.</w:t>
      </w:r>
    </w:p>
    <w:p>
      <w:pPr/>
      <w:r>
        <w:rPr>
          <w:rFonts w:ascii="Helvetica" w:hAnsi="Helvetica" w:cs="Helvetica"/>
          <w:sz w:val="24"/>
          <w:sz-cs w:val="24"/>
          <w:spacing w:val="0"/>
          <w:color w:val="000000"/>
        </w:rPr>
        <w:t xml:space="preserve">* By end-user, ASCs captured the highest growth, recording a 9.7% CAGR through 2031 as site-neutral payment reforms shifted procedure volumes out of hospitals.</w:t>
      </w:r>
    </w:p>
    <w:p>
      <w:pPr/>
      <w:r>
        <w:rPr>
          <w:rFonts w:ascii="Helvetica" w:hAnsi="Helvetica" w:cs="Helvetica"/>
          <w:sz w:val="24"/>
          <w:sz-cs w:val="24"/>
          <w:spacing w:val="0"/>
          <w:color w:val="000000"/>
        </w:rPr>
        <w:t xml:space="preserve">* By geography, North America accounted for 41.13% of 2025 revenue, while Asia-Pacific is projected to advance at an 8.51%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Endoscopy Devices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Rising Global Incidence of Gastrointestinal &amp; Colorectal Cancers | +1.2% | Global, peak in North America &amp; Europe | Medium term (2-4 years) | </w:t>
      </w:r>
    </w:p>
    <w:p>
      <w:pPr/>
      <w:r>
        <w:rPr>
          <w:rFonts w:ascii="Helvetica" w:hAnsi="Helvetica" w:cs="Helvetica"/>
          <w:sz w:val="24"/>
          <w:sz-cs w:val="24"/>
          <w:spacing w:val="0"/>
          <w:color w:val="000000"/>
        </w:rPr>
        <w:t xml:space="preserve">Widespread Shift Toward Minimally Invasive Procedures | +1.1% | Global, led by North America &amp; Asia-Pacific | Long term (â‰¥ 4 years) | </w:t>
      </w:r>
    </w:p>
    <w:p>
      <w:pPr/>
      <w:r>
        <w:rPr>
          <w:rFonts w:ascii="Helvetica" w:hAnsi="Helvetica" w:cs="Helvetica"/>
          <w:sz w:val="24"/>
          <w:sz-cs w:val="24"/>
          <w:spacing w:val="0"/>
          <w:color w:val="000000"/>
        </w:rPr>
        <w:t xml:space="preserve">Continuous Innovation in Endoscopy Visualization | +0.9% | North America, Europe, Japan | Short term (â‰¤ 2 years) | </w:t>
      </w:r>
    </w:p>
    <w:p>
      <w:pPr/>
      <w:r>
        <w:rPr>
          <w:rFonts w:ascii="Helvetica" w:hAnsi="Helvetica" w:cs="Helvetica"/>
          <w:sz w:val="24"/>
          <w:sz-cs w:val="24"/>
          <w:spacing w:val="0"/>
          <w:color w:val="000000"/>
        </w:rPr>
        <w:t xml:space="preserve">Expansion of Ambulatory Surgical Centers | +0.8% | North America, spillover to Europe | Medium term (2-4 years) | </w:t>
      </w:r>
    </w:p>
    <w:p>
      <w:pPr/>
      <w:r>
        <w:rPr>
          <w:rFonts w:ascii="Helvetica" w:hAnsi="Helvetica" w:cs="Helvetica"/>
          <w:sz w:val="24"/>
          <w:sz-cs w:val="24"/>
          <w:spacing w:val="0"/>
          <w:color w:val="000000"/>
        </w:rPr>
        <w:t xml:space="preserve">Favorable Reimbursement &amp; Public-Health Programs | +0.7% | North America, Europe, China, India | Medium term (2-4 years) | </w:t>
      </w:r>
    </w:p>
    <w:p>
      <w:pPr/>
      <w:r>
        <w:rPr>
          <w:rFonts w:ascii="Helvetica" w:hAnsi="Helvetica" w:cs="Helvetica"/>
          <w:sz w:val="24"/>
          <w:sz-cs w:val="24"/>
          <w:spacing w:val="0"/>
          <w:color w:val="000000"/>
        </w:rPr>
        <w:t xml:space="preserve">Aging Population with Chronic Conditions | +0.6% | Global, concentrated in North America, Europe, Japan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Rising Global Incidence of Gastrointestinal &amp; Colorectal Cancers Driving Screening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Colorectal cancer cases among U.S. adults aged 20-49 increased 9% between 2020 and 2024, prompting payers to broaden screening eligibility to younger cohorts[1]American Cancer Society, â€œColorectal Cancer Statistics 2024,â€ cancer.org. Endoscopy fleets therefore require faster refresh cycles, with high-volume centers acquiring high-definition (HD) colonoscopes that better visualize flat or depressed lesions responsible for 30% of interval cancers. Japan and South Korea illustrate the effect of mandatory screening: per-capita endoscope utilization runs three to four times higher than in Western systems, demonstrating the procedure volume that emerging Chinese and Indian programs could unleash. The World Health Organizationâ€™s 2024 cancer outlook projects a 47% rise in global cancer incidence by 2040, spotlighting gastrointestinal malignancies as the largest absolute increase. Regulators are also tightening quality standards; updated ISO 13485 audits link device performance directly to documented cancer-detection rates, raising the entry hurdle for new vendors.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Widespread Shift Toward Minimally Invasive Procedures Across Surgical Specialties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Minimally invasive techniques now represent 72% of elective abdominal surgeries in the United States, up from 64% in 2020[2]Agency for Healthcare Research and Quality, â€œHCUP Trends 2024,â€ ahrq.gov. Bariatric endoscopic sleeve gastroplasty volumes jumped 38% in 2024 as shortages of GLP-1 agonists steered patients from pharmacotherapy to procedural weight management. Orthopedic arthroscopy follows a similar trajectory, with 85% of U.S. meniscus repairs completed arthroscopically in 2024. Robotic bronchoscopy platforms such as Intuitive Surgicalâ€™s Ion, cleared in 2024, reached an 89% diagnostic yield for sub-2 cm lung nodules, underscoring how flexible-scope technology increasingly merges with robotics. This broad procedural pivot expands the endoscopy devices market well beyond gastroenterology, opening white-space opportunities for hybrid visualization systems that blend rigid-scope precision with flexible-scope reach.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Continuous Innovation in Endoscopy Visualization Enhancing Clinical Outcomes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Between 2024 and 2026, the FDA cleared 14 artificial-intelligence (AI) colonoscopy systems, highlighting the growing role of AI in endoscopy through real-time polyp-detection software that lifts adenoma detection rates by 8-12 percentage points. Fujifilmâ€™s CAD EYE, integrated into the ELUXEO 8000 platform, uses linked-color imaging to highlight vascular patterns linked to neoplasia. Olympusâ€™s EVIS X1 achieved 97% sensitivity for Barrettâ€™s esophagus dysplasia in a 2024 multicenter trial, outperforming white-light endoscopy by 14 percentage points. Karl Storzâ€™s IMAGE1 S 4K system provides 8.3-megapixel resolution that helps surgeons identify nerve bundles during laparoscopic prostatectomy, reducing incontinence by 18%. Capsule solutions are also advancing; Medtronicâ€™s PillCam, cleared in 2024 for Crohnâ€™s disease monitoring, offers a non-invasive alternative to repeat ileocolonoscopy. These innovations shorten average colonoscopy time from 28 minutes to 22 minutes, allowing centers to raise daily throughput without extra staff.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Ambulatory Surgical Centers Boosting Outpatient Endoscopy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ASCs completed 9.2 million U.S. GI endoscopies in 2024, a 14% jump since 2020, after Medicareâ€™s 2024 site-neutral payment rule equalized reimbursement with hospital outpatient departments. Removing colonoscopy from the inpatient-only list opened another 2.3 million annual procedures to ASCs. Colonoscopy now costs Medicare USD 1,068 in an ASC versus USD 1,783 in a hospital outpatient department, a 40% savings that commercial plans replicate through preferred ASC networks. Twelve states scrapped certificate-of-need barriers between 2024 and 2026, with Florida, Texas, and Arizona hosting 38% of new centers. Compact integrated towers such as Olympusâ€™s EVIS X1 Compact meet the footprint and budget constraints of these facilities. Similar outpatient growth is emerging in Japan and Germany after payers in both countries approved stand-alone ambulatory endoscopy clinics in 2024.</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Capital &amp; Lifecycle Maintenance Costs | -0.9% | Global, acute in emerging markets | Medium term (2-4 years) | </w:t>
      </w:r>
    </w:p>
    <w:p>
      <w:pPr/>
      <w:r>
        <w:rPr>
          <w:rFonts w:ascii="Helvetica" w:hAnsi="Helvetica" w:cs="Helvetica"/>
          <w:sz w:val="24"/>
          <w:sz-cs w:val="24"/>
          <w:spacing w:val="0"/>
          <w:color w:val="000000"/>
        </w:rPr>
        <w:t xml:space="preserve">Persistent Infection-Control Challenges | -0.7% | Global, focused in North America &amp; Europe | Short term (â‰¤ 2 years) | </w:t>
      </w:r>
    </w:p>
    <w:p>
      <w:pPr/>
      <w:r>
        <w:rPr>
          <w:rFonts w:ascii="Helvetica" w:hAnsi="Helvetica" w:cs="Helvetica"/>
          <w:sz w:val="24"/>
          <w:sz-cs w:val="24"/>
          <w:spacing w:val="0"/>
          <w:color w:val="000000"/>
        </w:rPr>
        <w:t xml:space="preserve">Global Shortage of Trained Endoscopists | -0.5% | Global, severe in North America &amp; Asia-Pacific | Long term (â‰¥ 4 years) | </w:t>
      </w:r>
    </w:p>
    <w:p>
      <w:pPr/>
      <w:r>
        <w:rPr>
          <w:rFonts w:ascii="Helvetica" w:hAnsi="Helvetica" w:cs="Helvetica"/>
          <w:sz w:val="24"/>
          <w:sz-cs w:val="24"/>
          <w:spacing w:val="0"/>
          <w:color w:val="000000"/>
        </w:rPr>
        <w:t xml:space="preserve">Lengthy, Stringent Regulatory Approvals | -0.4% | North America, Europe, Japan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Capital &amp; Lifecycle Maintenance Costs of Advanced Endoscopic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fully integrated 4K tower with AI software lists between USD 180,000 and USD 250,000, about 60% higher than standard-definition rigsâ€”a hurdle for community hospitals and ASCs with thin margins. Automated endoscope reprocessors (AERs), mandated by FDA and CDC protocols, cost USD 40,000-75,000 apiece, while high-level disinfectants add USD 12-18 per scope cycle[3]Centers for Disease Control and Prevention, â€œHAI Outbreaks Linked to Endoscopes 2024,â€ cdc.gov. Total annual ownership of a reusable colonoscope averages USD 2,800 when maintenance, servicing, and reprocessing are included. Disposable scopes eliminate reprocessing costs but introduce a USD 200-400 per-case expense, limiting viability to low-volume or high-infection-risk settings. Emerging-market budgets remain tight; typical Indian public hospitals earmark USD 25,000 per year for endoscopy equipment, adequate for only a single mid-tier flexible scope. Leasing models that bundle capital, maintenance, and consumables into per-procedure fees are growing in Europe but still cover less than 5% of installed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Persistent Infection-Control Challenges and Heightened Regulatory Scrutiny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FDA issued 12 separate flexible-scope contamination alerts from 2024 to 2026, including a Class I recall of Olympusâ€™s TJF-Q190V duodenoscope after 18 confirmed carbapenem-resistant Enterobacteriaceae infections. The Centers for Disease Control and Prevention (CDC) connected 47 healthcare-associated outbreaks in 2024 to improper endoscope reprocessing, with duodenoscopes and echoendoscopes implicated in 68% of cases. New FDA rules obligate manufacturers to conduct post-market surveillance on all flexible scopes with reusable components. Europeâ€™s Medical Device Regulation (MDR) upgraded flexible endoscopes from Class IIa to Class IIb in 2024, requiring clinical proof of reprocessing efficacy plus third-party audits. Compliance costs are rising: Olympus disclosed USD 120 million in incremental regulatory spending for 2024, while smaller firms are exiting the reusable-scope market entirely. Single-use adoption spiked after the FDA recommended disposable duodenoscopes for high-risk ERCP cases, pushing penetration to 22% of such procedures by late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Device Type: Visualization Leads Innovation Race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Visualization equipment expanded at an 8.25% CAGR between 2026 and 2031, the fastest among all device categories. The segmentâ€™s momentum reflects hospital demand for 4K and AI-ready towers like Olympusâ€™s EVIS X1 and Fujifilmâ€™s ELUXEO 8000, both cleared in 2024, which cut adenoma miss rates by up to 14 percentage points. Endoscopes retained 38.55% of 2025 revenue, with flexible variants dominating gastroenterology and pulmonology. Capsule endoscopes, led by Medtronicâ€™s PillCam, carved a niche in small-bowel imaging and Crohnâ€™s disease surveillance. Robotic-compatible visualization, exemplified by Intuitiveâ€™s Ion bronchoscope, blends flexible reach with robotic precision, underpinning 89% diagnostic yields in peripheral lung biopsies.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Manual instruments such as snares and forceps are commoditizing as Asian suppliers exert price pressure, yet high-margin digital visualization suites offset the squeeze. Karl Storzâ€™s IMAGE1 S 4K system supports nerve-sparing prostatectomy, demonstrating the clinical lift associated with ultra-high resolution. As a result, visualization commanded the largest slice of incremental revenue in the endoscopy devices market. Hybrid 4K/HD portfolios cater to budget-sensitive geographies where reimbursement remains inadequate for premium hardware, extending the replacement opportunity curve.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 Laparoscopy Surges on Robotic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Gastrointestinal endoscopy held a commanding 55.53% share in 2025, driven by more than 19 million annual colonoscopies in the United States alone. Yet laparoscopy clocked the swiftest growth at an 8.85% CAGR through 2031 as robotic platforms reduced surgeon fatigue and enabled single-port appendectomies and cholecystectomies. Intuitive Surgicalâ€™s da Vinci SP, cleared for transoral applications in 2024, illustrates the convergence of rigid and flexible modalities under a robotic umbrella. Pulmonology accelerates too: the U.S. Preventive Services Task Forceâ€™s 2024 guidelines expanded lung-cancer screening eligibility, adding 6.4 million candidates and fueling adoption of robotic bronchoscopy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 urology, and gynecology procedures continue to benefit from HD imaging upgrades, while neurology endoscopy gains attention for hydrocephalus management via single-burr-hole techniques. Orthopedics remains mature but innovates through augmented-reality overlays that guide ligament reconstruction, a feature Smith &amp; Nephew commercialized in its 4K arthroscopy suite in 2024. The breadth of clinical indications ultimately broadens the total addressable endoscopy devices market, insulating revenue streams from single-specialty slowdowns.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Usability: Single-Use Gains Despite Cost Premium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Single-use and disposable scopes are set to grow at a 10.87% CAGR, outpacing reusable platforms as infection-control mandates intensify. Ambuâ€™s disposable bronchoscopes and duodenoscopes, cleared in 2024 and 2025, remove reprocessing workflows and slash turnaround time from 45 minutes to zero. Boston Scientific priced its EXALT Model D duodenoscope at USD 1,850, about 40% above reusable per-procedure costs but attractive for low-volume centers.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Reusable systems still dominate because Olympusâ€™s EVIS X1 delivers 1.25 million-pixel resolution that disposable rivals cannot yet match. Hybrid models such as Pentaxâ€™s single-use forceps paired with reusable scopes offer a middle path that contains infection risk without forfeiting image quality. Environmental pressure is the main counterweight, as disposable scopes generate 3.2 times more plastic waste per case.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ASCs Capture Outpatient Migration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ASCs registered a 9.7% CAGR through 2031, the fastest among end-users, after Medicareâ€™s 2024 reforms removed site-of-service payment gaps. Hospital and academic centers still accounted for 42.13% of 2025 revenue, retaining complex ERCP and endoscopic submucosal dissection cases that demand surgical backup. Specialty clinics proliferate in Japan and Germany, where 2024 reimbursement updates recognized standalone endoscopy centers. Private-equity consolidation among U.S. ASCs continues, with platforms like Surgery Partners acquiring 47 GI-focused centers in 2024 to negotiate 15-20% capital equipment discounts. In emerging markets, reimbursement hurdles still tether procedure volumes to hospital settings, slowing the outpatient shift.</w:t>
      </w:r>
    </w:p>
    <w:p>
      <w:pPr/>
      <w:r>
        <w:rPr>
          <w:rFonts w:ascii="Helvetica" w:hAnsi="Helvetica" w:cs="Helvetica"/>
          <w:sz w:val="24"/>
          <w:sz-cs w:val="24"/>
          <w:spacing w:val="0"/>
          <w:color w:val="000000"/>
        </w:rPr>
        <w:t xml:space="preserve">Geographical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41.13% of 2025 revenue due to Medicareâ€™s elimination of cost-sharing for screening colonoscopies in 2024, which expanded the screening pool by 19 million people. ASCs performed 9.2 million GI endoscopies in 2024, consolidating their role as the primary outpatient site. Canadaâ€™s pilot of AI-assisted colonoscopy in Ontario and British Columbia improved adenoma detection by 11%, a catalyst for countrywide rollout. Mexico broadened coverage to an additional 8.2 million beneficiaries through the Instituto Mexicano del Seguro Social in 2024.</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will post the fastest regional expansion with an 8.51% CAGR through 2031. Chinaâ€™s National Healthcare Security Administration extended endoscopy reimbursements to 95% of urban residents in 2025, while Indiaâ€™s Ayushman Bharat added upper-GI screening for high-risk groups. Japanâ€™s 2024 decision to pay for AI-assisted colonoscopy accelerated the domestic shift to CAD EYE-enabled platforms. Australia started reimbursing capsule endoscopy for Crohnâ€™s disease and suspected small-bowel bleeding in 2024, enlarging its advanced imaging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experienced steady uptake after the MDR took full effect in 2024, compelling hospitals to modernize to compliant platforms. Germany allowed screening colonoscopies in certified ambulatory centers, easing hospital bottlenecks. G-BA.DE. France reimbursed single-use duodenoscopes for high-risk ERCP in 2024. The United Kingdomâ€™s National Health Service is piloting AI colonoscopy across 12 trusts, aiming to cut interval cancer by 15% by 2027.</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Middle East is scaling capacity under Saudi Arabiaâ€™s Vision 2030, which earmarked USD 1.2 billion for endoscopy infrastructure. Brazilâ€™s public system added diagnostic endoscopy to its primary-care benefits in 2024, covering 140 million citizens. Argentinaâ€™s private insurers embraced therapeutic endoscopy coverage the same year, widening access to advanced procedures.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Regulation for endoscopy devices continues to tighten around quality systems, post-market surveillance, and validated cleaning and sterilization performance, influencing both reusable and single-use portfolios. In the United States, the FDA Quality Management System Regulation (QMSR) became effective in February 2026, incorporating ISO 13485:2016 concepts into 21 CFR 820 expectations and raising expectations for design controls and supplier management across endoscopy platforms and accessories. In 2026, FDA also advanced risk-based classification through Class II (special controls) determinations for several gastroenterology and urology device categories, including endoscopic suturing devices for altering gastric anatomy (May 2026), endoscopic light-projecting measuring devices (June 2026), and endoscopic traction devices (June 2026), which support faster access pathways while prescribing specific performance and labeling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the Medical Device Regulation (MDR, EU 2017/745) continues to drive recertification and documentation upgrades, with legacy-device transition timelines extended to 2027/2028 depending on risk class. The European Commission updated the list of harmonised standards supporting MDR via Commission Implementing Decision (EU) 2026/193 (adopted 28 January 2026) and further updates published in the Official Journal of the European Union in June 2026, signaling active alignment to revised standards for areas such as biological evaluation and sterilization. For manufacturers selling visualization towers, reusable flexible endoscopes, and high-risk accessories in the EU, the compliance workload increases, and procurement places more emphasis on traceability and validated infection-control performance.</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Olympus, Fujifilm, and Karl Storz dominate flexible and rigid scopes, yet Ambuâ€™s single-use lineup is fragmenting share, especially in high-infection-risk segments. Olympusâ€™s 2024 acquisition of Veran Medical Technologies for USD 340 million added electromagnetic navigation bronchoscopy, while Boston Scientificâ€™s USD 615 million purchase of Apollo Endosurgery consolidated bariatric and metabolic portfolios. Intuitive Surgicalâ€™s Ion platform captured 12% of U.S. bronchoscopy revenue within 18 months of its 2024 launch, underscoring robotics as a disruptive axis.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 filings underline strategy: Olympus lodged 47 endoscopy patents in 2024, with 38% targeting AI image-processing and 26% aimed at disposable components. Regulatory compliance costs are rising; Fujifilm spent an extra USD 85 million on MDR alignment in 2024. Smaller innovators such as Outlook Surgical gain traction with towerless scopes that blend rigid and flexible features, accelerating cost-effective adoption for ASCs.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Single-use devices are a wedge for new entrants. Ambu leveraged the FDAâ€™s 510(k) pathway to obtain 2024 and 2025 clearances, compressing development cycles to 18 months and bypassing premarket approval costs. Medtronicâ€™s PillCam Crohnâ€™s capsule seized 8% of small-bowel imaging within a year of its 2024 approval. As AI, robotics, and disposal economics collide, competitive intensity in the endoscopy devices market escalates, encouraging incumbents to hedge with dual reusable and single-use portfolios.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Endoscopy Devices Industry Leaders* Olympus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Boston Scientific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Medtronic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Fujifilm Holdings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Karl Storz SE &amp; Co. KG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Procurement is shifting from stand-alone scopes toward integrated, upgradeable imaging and workflow chains that match outpatient throughput and quality-reporting needs. That approach creates whitespace for portable, footprint-efficient systems and add-on modules aimed at improving detection and documentation. In the United States, the ambulatory migration is already visible, with ASCs performing 9.2 million GI endoscopies in 2024, and it continues to shape demand for compact towers and flexible financing.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parallel, faster adoption of AI-enabled visualization is supported by regulatory momentum, with 14 AI colonoscopy systems cleared by the FDA between 2024 and 2026, alongside payer actions such as Medicare removing cost-sharing for screening colonoscopies in 2024 and Japan reimbursing AI-assisted colonoscopy in 2024. Infection-control scrutiny and the operational burden of reprocessing are also expanding the commercial runway for single-use scopes and validated accessory sets, particularly in high-risk procedures and lower-volume sites. Uptake of single-use duodenoscopes is already evident, with penetration reaching 22% of high-risk ERCP cases by late 2025 following FDA recommendations and repeated contamination alerts, while manufacturers broaden single-use offerings, including office and outpatient ENT rhinolaryngoscopes. On the innovation side, 2026 regulatory clearances for new endoscopy systems and processors, including multiple FDA 510(k) clearances across endoscopy platforms, plus clinical advances in therapeutic tools such as high-pressure injection knives reporting higher R0 resection rates in complex colorectal ESD, support a pipeline that ties improved clinical endpoints to efficiency gains and reinforces replacement cycles for visualization equipment and specialized operative devices.</w:t>
      </w:r>
    </w:p>
    <w:p>
      <w:pPr/>
      <w:r>
        <w:rPr>
          <w:rFonts w:ascii="Helvetica" w:hAnsi="Helvetica" w:cs="Helvetica"/>
          <w:sz w:val="24"/>
          <w:sz-cs w:val="24"/>
          <w:spacing w:val="0"/>
          <w:color w:val="000000"/>
        </w:rPr>
        <w:t xml:space="preserve">Recent Industry Developments* June 2026: Medtronic and KARL STORZ announced a strategic collaboration to expand access to integrated ENT surgical solutions in the United States, combining Medtronic's AiBLE ENT surgical ecosystem with KARL STORZ visualization technology. The partnership targets standardized OR workflows and system-level integration, reinforcing bundled equipment strategies that connect visualization, instrumentation, and digital workflow tools.</w:t>
      </w:r>
    </w:p>
    <w:p>
      <w:pPr/>
      <w:r>
        <w:rPr>
          <w:rFonts w:ascii="Helvetica" w:hAnsi="Helvetica" w:cs="Helvetica"/>
          <w:sz w:val="24"/>
          <w:sz-cs w:val="24"/>
          <w:spacing w:val="0"/>
          <w:color w:val="000000"/>
        </w:rPr>
        <w:t xml:space="preserve">* May 2026: Olympus signed an exclusive global distribution agreement with EndoRobotics to add robot-assisted technologies for endoscopic submucosal dissection (ESD) into its EndoTherapy portfolio. This broadens Olympus's therapeutic endoscopy stack beyond conventional accessories and reflects how complex endoscopy procedures increasingly require advanced instrumentation and tighter platform integration.</w:t>
      </w:r>
    </w:p>
    <w:p>
      <w:pPr/>
      <w:r>
        <w:rPr>
          <w:rFonts w:ascii="Helvetica" w:hAnsi="Helvetica" w:cs="Helvetica"/>
          <w:sz w:val="24"/>
          <w:sz-cs w:val="24"/>
          <w:spacing w:val="0"/>
          <w:color w:val="000000"/>
        </w:rPr>
        <w:t xml:space="preserve">* October 2025: Olympus launched the Vathin E-SteriScope single-use flexible rhinolaryngoscope for diagnostic and therapeutic ENT procedures. The launch expands Olympus's single-use portfolio in settings where fast turnover and infection-control requirements influence purchasing, supporting adoption in office-based and outpatient ENT pathways.</w:t>
      </w:r>
    </w:p>
    <w:p>
      <w:pPr/>
      <w:r>
        <w:rPr>
          <w:rFonts w:ascii="Helvetica" w:hAnsi="Helvetica" w:cs="Helvetica"/>
          <w:sz w:val="24"/>
          <w:sz-cs w:val="24"/>
          <w:spacing w:val="0"/>
          <w:color w:val="000000"/>
        </w:rPr>
        <w:t xml:space="preserve">Table of Contents for Endoscopy Devices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Global Incidence of Gastrointestinal &amp; Colorectal Cancers Driving Screening Demand</w:t>
      </w:r>
    </w:p>
    <w:p>
      <w:pPr/>
      <w:r>
        <w:rPr>
          <w:rFonts w:ascii="Helvetica" w:hAnsi="Helvetica" w:cs="Helvetica"/>
          <w:sz w:val="24"/>
          <w:sz-cs w:val="24"/>
          <w:spacing w:val="0"/>
          <w:color w:val="000000"/>
        </w:rPr>
        <w:t xml:space="preserve">* 4.2.2 Widespread Shift Toward Minimally Invasive Procedures Across Surgical Specialties</w:t>
      </w:r>
    </w:p>
    <w:p>
      <w:pPr/>
      <w:r>
        <w:rPr>
          <w:rFonts w:ascii="Helvetica" w:hAnsi="Helvetica" w:cs="Helvetica"/>
          <w:sz w:val="24"/>
          <w:sz-cs w:val="24"/>
          <w:spacing w:val="0"/>
          <w:color w:val="000000"/>
        </w:rPr>
        <w:t xml:space="preserve">* 4.2.3 Continuous Innovation in Endoscopy Visualization Enhancing Clinical Outcomes</w:t>
      </w:r>
    </w:p>
    <w:p>
      <w:pPr/>
      <w:r>
        <w:rPr>
          <w:rFonts w:ascii="Helvetica" w:hAnsi="Helvetica" w:cs="Helvetica"/>
          <w:sz w:val="24"/>
          <w:sz-cs w:val="24"/>
          <w:spacing w:val="0"/>
          <w:color w:val="000000"/>
        </w:rPr>
        <w:t xml:space="preserve">* 4.2.4 Favorable Reimbursement &amp; Public-Health Programs Supporting Preventive Endoscopy</w:t>
      </w:r>
    </w:p>
    <w:p>
      <w:pPr/>
      <w:r>
        <w:rPr>
          <w:rFonts w:ascii="Helvetica" w:hAnsi="Helvetica" w:cs="Helvetica"/>
          <w:sz w:val="24"/>
          <w:sz-cs w:val="24"/>
          <w:spacing w:val="0"/>
          <w:color w:val="000000"/>
        </w:rPr>
        <w:t xml:space="preserve">* 4.2.5 Aging Population with Multiple Chronic Conditions Requiring Diagnostic Interventions</w:t>
      </w:r>
    </w:p>
    <w:p>
      <w:pPr/>
      <w:r>
        <w:rPr>
          <w:rFonts w:ascii="Helvetica" w:hAnsi="Helvetica" w:cs="Helvetica"/>
          <w:sz w:val="24"/>
          <w:sz-cs w:val="24"/>
          <w:spacing w:val="0"/>
          <w:color w:val="000000"/>
        </w:rPr>
        <w:t xml:space="preserve">* 4.2.6 Expansion of Ambulatory Surgical Centers Boosting Outpatient Endoscopy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Persistent Infection-Control Challenges and Heightened Regulatory Scrutiny</w:t>
      </w:r>
    </w:p>
    <w:p>
      <w:pPr/>
      <w:r>
        <w:rPr>
          <w:rFonts w:ascii="Helvetica" w:hAnsi="Helvetica" w:cs="Helvetica"/>
          <w:sz w:val="24"/>
          <w:sz-cs w:val="24"/>
          <w:spacing w:val="0"/>
          <w:color w:val="000000"/>
        </w:rPr>
        <w:t xml:space="preserve">* 4.3.2 Global Shortage of Trained Endoscopists and Support Staff</w:t>
      </w:r>
    </w:p>
    <w:p>
      <w:pPr/>
      <w:r>
        <w:rPr>
          <w:rFonts w:ascii="Helvetica" w:hAnsi="Helvetica" w:cs="Helvetica"/>
          <w:sz w:val="24"/>
          <w:sz-cs w:val="24"/>
          <w:spacing w:val="0"/>
          <w:color w:val="000000"/>
        </w:rPr>
        <w:t xml:space="preserve">* 4.3.3 Lengthy, Stringent Regulatory Approval Processes Slowing Product Launches</w:t>
      </w:r>
    </w:p>
    <w:p>
      <w:pPr/>
      <w:r>
        <w:rPr>
          <w:rFonts w:ascii="Helvetica" w:hAnsi="Helvetica" w:cs="Helvetica"/>
          <w:sz w:val="24"/>
          <w:sz-cs w:val="24"/>
          <w:spacing w:val="0"/>
          <w:color w:val="000000"/>
        </w:rPr>
        <w:t xml:space="preserve">* 4.3.4 High Capital &amp; Lifecycle Maintenance Costs of Advanced Endoscopic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Porterâ€™s Five Forces*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Device Type* 5.1.1 Endoscopes</w:t>
      </w:r>
    </w:p>
    <w:p>
      <w:pPr/>
      <w:r>
        <w:rPr>
          <w:rFonts w:ascii="Helvetica" w:hAnsi="Helvetica" w:cs="Helvetica"/>
          <w:sz w:val="24"/>
          <w:sz-cs w:val="24"/>
          <w:spacing w:val="0"/>
          <w:color w:val="000000"/>
        </w:rPr>
        <w:t xml:space="preserve">* 5.1.1.1 Rigid Endoscopes</w:t>
      </w:r>
    </w:p>
    <w:p>
      <w:pPr/>
      <w:r>
        <w:rPr>
          <w:rFonts w:ascii="Helvetica" w:hAnsi="Helvetica" w:cs="Helvetica"/>
          <w:sz w:val="24"/>
          <w:sz-cs w:val="24"/>
          <w:spacing w:val="0"/>
          <w:color w:val="000000"/>
        </w:rPr>
        <w:t xml:space="preserve">* 5.1.1.2 Flexible Endoscopes</w:t>
      </w:r>
    </w:p>
    <w:p>
      <w:pPr/>
      <w:r>
        <w:rPr>
          <w:rFonts w:ascii="Helvetica" w:hAnsi="Helvetica" w:cs="Helvetica"/>
          <w:sz w:val="24"/>
          <w:sz-cs w:val="24"/>
          <w:spacing w:val="0"/>
          <w:color w:val="000000"/>
        </w:rPr>
        <w:t xml:space="preserve">* 5.1.1.3 Capsule Endoscopes</w:t>
      </w:r>
    </w:p>
    <w:p>
      <w:pPr/>
      <w:r>
        <w:rPr>
          <w:rFonts w:ascii="Helvetica" w:hAnsi="Helvetica" w:cs="Helvetica"/>
          <w:sz w:val="24"/>
          <w:sz-cs w:val="24"/>
          <w:spacing w:val="0"/>
          <w:color w:val="000000"/>
        </w:rPr>
        <w:t xml:space="preserve">* 5.1.1.4 Robotic-assisted Endoscopes</w:t>
      </w:r>
    </w:p>
    <w:p>
      <w:pPr/>
      <w:r>
        <w:rPr>
          <w:rFonts w:ascii="Helvetica" w:hAnsi="Helvetica" w:cs="Helvetica"/>
          <w:sz w:val="24"/>
          <w:sz-cs w:val="24"/>
          <w:spacing w:val="0"/>
          <w:color w:val="000000"/>
        </w:rPr>
        <w:t xml:space="preserve">* 5.1.2 Endoscopic Operative Devices</w:t>
      </w:r>
    </w:p>
    <w:p>
      <w:pPr/>
      <w:r>
        <w:rPr>
          <w:rFonts w:ascii="Helvetica" w:hAnsi="Helvetica" w:cs="Helvetica"/>
          <w:sz w:val="24"/>
          <w:sz-cs w:val="24"/>
          <w:spacing w:val="0"/>
          <w:color w:val="000000"/>
        </w:rPr>
        <w:t xml:space="preserve">* 5.1.2.1 Irrigation / Suction Systems</w:t>
      </w:r>
    </w:p>
    <w:p>
      <w:pPr/>
      <w:r>
        <w:rPr>
          <w:rFonts w:ascii="Helvetica" w:hAnsi="Helvetica" w:cs="Helvetica"/>
          <w:sz w:val="24"/>
          <w:sz-cs w:val="24"/>
          <w:spacing w:val="0"/>
          <w:color w:val="000000"/>
        </w:rPr>
        <w:t xml:space="preserve">* 5.1.2.2 Access Devices</w:t>
      </w:r>
    </w:p>
    <w:p>
      <w:pPr/>
      <w:r>
        <w:rPr>
          <w:rFonts w:ascii="Helvetica" w:hAnsi="Helvetica" w:cs="Helvetica"/>
          <w:sz w:val="24"/>
          <w:sz-cs w:val="24"/>
          <w:spacing w:val="0"/>
          <w:color w:val="000000"/>
        </w:rPr>
        <w:t xml:space="preserve">* 5.1.2.3 Wound Protectors</w:t>
      </w:r>
    </w:p>
    <w:p>
      <w:pPr/>
      <w:r>
        <w:rPr>
          <w:rFonts w:ascii="Helvetica" w:hAnsi="Helvetica" w:cs="Helvetica"/>
          <w:sz w:val="24"/>
          <w:sz-cs w:val="24"/>
          <w:spacing w:val="0"/>
          <w:color w:val="000000"/>
        </w:rPr>
        <w:t xml:space="preserve">* 5.1.2.4 Insufflation Devices</w:t>
      </w:r>
    </w:p>
    <w:p>
      <w:pPr/>
      <w:r>
        <w:rPr>
          <w:rFonts w:ascii="Helvetica" w:hAnsi="Helvetica" w:cs="Helvetica"/>
          <w:sz w:val="24"/>
          <w:sz-cs w:val="24"/>
          <w:spacing w:val="0"/>
          <w:color w:val="000000"/>
        </w:rPr>
        <w:t xml:space="preserve">* 5.1.2.5 Manual Instruments</w:t>
      </w:r>
    </w:p>
    <w:p>
      <w:pPr/>
      <w:r>
        <w:rPr>
          <w:rFonts w:ascii="Helvetica" w:hAnsi="Helvetica" w:cs="Helvetica"/>
          <w:sz w:val="24"/>
          <w:sz-cs w:val="24"/>
          <w:spacing w:val="0"/>
          <w:color w:val="000000"/>
        </w:rPr>
        <w:t xml:space="preserve">* 5.1.3 Visualization Equipment</w:t>
      </w:r>
    </w:p>
    <w:p>
      <w:pPr/>
      <w:r>
        <w:rPr>
          <w:rFonts w:ascii="Helvetica" w:hAnsi="Helvetica" w:cs="Helvetica"/>
          <w:sz w:val="24"/>
          <w:sz-cs w:val="24"/>
          <w:spacing w:val="0"/>
          <w:color w:val="000000"/>
        </w:rPr>
        <w:t xml:space="preserve">* 5.1.3.1 Endoscopic Cameras</w:t>
      </w:r>
    </w:p>
    <w:p>
      <w:pPr/>
      <w:r>
        <w:rPr>
          <w:rFonts w:ascii="Helvetica" w:hAnsi="Helvetica" w:cs="Helvetica"/>
          <w:sz w:val="24"/>
          <w:sz-cs w:val="24"/>
          <w:spacing w:val="0"/>
          <w:color w:val="000000"/>
        </w:rPr>
        <w:t xml:space="preserve">* 5.1.3.2 SD Visualization Systems</w:t>
      </w:r>
    </w:p>
    <w:p>
      <w:pPr/>
      <w:r>
        <w:rPr>
          <w:rFonts w:ascii="Helvetica" w:hAnsi="Helvetica" w:cs="Helvetica"/>
          <w:sz w:val="24"/>
          <w:sz-cs w:val="24"/>
          <w:spacing w:val="0"/>
          <w:color w:val="000000"/>
        </w:rPr>
        <w:t xml:space="preserve">* 5.1.3.3 HD / 4K Visualization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Gastrointestinal Endoscopy</w:t>
      </w:r>
    </w:p>
    <w:p>
      <w:pPr/>
      <w:r>
        <w:rPr>
          <w:rFonts w:ascii="Helvetica" w:hAnsi="Helvetica" w:cs="Helvetica"/>
          <w:sz w:val="24"/>
          <w:sz-cs w:val="24"/>
          <w:spacing w:val="0"/>
          <w:color w:val="000000"/>
        </w:rPr>
        <w:t xml:space="preserve">* 5.2.2 Laparoscopy</w:t>
      </w:r>
    </w:p>
    <w:p>
      <w:pPr/>
      <w:r>
        <w:rPr>
          <w:rFonts w:ascii="Helvetica" w:hAnsi="Helvetica" w:cs="Helvetica"/>
          <w:sz w:val="24"/>
          <w:sz-cs w:val="24"/>
          <w:spacing w:val="0"/>
          <w:color w:val="000000"/>
        </w:rPr>
        <w:t xml:space="preserve">* 5.2.3 Pulmonology / Bronchoscopy</w:t>
      </w:r>
    </w:p>
    <w:p>
      <w:pPr/>
      <w:r>
        <w:rPr>
          <w:rFonts w:ascii="Helvetica" w:hAnsi="Helvetica" w:cs="Helvetica"/>
          <w:sz w:val="24"/>
          <w:sz-cs w:val="24"/>
          <w:spacing w:val="0"/>
          <w:color w:val="000000"/>
        </w:rPr>
        <w:t xml:space="preserve">* 5.2.4 ENT / Otolaryngology</w:t>
      </w:r>
    </w:p>
    <w:p>
      <w:pPr/>
      <w:r>
        <w:rPr>
          <w:rFonts w:ascii="Helvetica" w:hAnsi="Helvetica" w:cs="Helvetica"/>
          <w:sz w:val="24"/>
          <w:sz-cs w:val="24"/>
          <w:spacing w:val="0"/>
          <w:color w:val="000000"/>
        </w:rPr>
        <w:t xml:space="preserve">* 5.2.5 Urology</w:t>
      </w:r>
    </w:p>
    <w:p>
      <w:pPr/>
      <w:r>
        <w:rPr>
          <w:rFonts w:ascii="Helvetica" w:hAnsi="Helvetica" w:cs="Helvetica"/>
          <w:sz w:val="24"/>
          <w:sz-cs w:val="24"/>
          <w:spacing w:val="0"/>
          <w:color w:val="000000"/>
        </w:rPr>
        <w:t xml:space="preserve">* 5.2.6 Gynecology</w:t>
      </w:r>
    </w:p>
    <w:p>
      <w:pPr/>
      <w:r>
        <w:rPr>
          <w:rFonts w:ascii="Helvetica" w:hAnsi="Helvetica" w:cs="Helvetica"/>
          <w:sz w:val="24"/>
          <w:sz-cs w:val="24"/>
          <w:spacing w:val="0"/>
          <w:color w:val="000000"/>
        </w:rPr>
        <w:t xml:space="preserve">* 5.2.7 Cardiology</w:t>
      </w:r>
    </w:p>
    <w:p>
      <w:pPr/>
      <w:r>
        <w:rPr>
          <w:rFonts w:ascii="Helvetica" w:hAnsi="Helvetica" w:cs="Helvetica"/>
          <w:sz w:val="24"/>
          <w:sz-cs w:val="24"/>
          <w:spacing w:val="0"/>
          <w:color w:val="000000"/>
        </w:rPr>
        <w:t xml:space="preserve">* 5.2.8 Neurology</w:t>
      </w:r>
    </w:p>
    <w:p>
      <w:pPr/>
      <w:r>
        <w:rPr>
          <w:rFonts w:ascii="Helvetica" w:hAnsi="Helvetica" w:cs="Helvetica"/>
          <w:sz w:val="24"/>
          <w:sz-cs w:val="24"/>
          <w:spacing w:val="0"/>
          <w:color w:val="000000"/>
        </w:rPr>
        <w:t xml:space="preserve">* 5.2.9 Orthopedics / Arthroscopy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Usability* 5.3.1 Reprocessed / Reusable Devices</w:t>
      </w:r>
    </w:p>
    <w:p>
      <w:pPr/>
      <w:r>
        <w:rPr>
          <w:rFonts w:ascii="Helvetica" w:hAnsi="Helvetica" w:cs="Helvetica"/>
          <w:sz w:val="24"/>
          <w:sz-cs w:val="24"/>
          <w:spacing w:val="0"/>
          <w:color w:val="000000"/>
        </w:rPr>
        <w:t xml:space="preserve">* 5.3.2 Single-use / Disposable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Hospitals &amp; Academic Medical Centers</w:t>
      </w:r>
    </w:p>
    <w:p>
      <w:pPr/>
      <w:r>
        <w:rPr>
          <w:rFonts w:ascii="Helvetica" w:hAnsi="Helvetica" w:cs="Helvetica"/>
          <w:sz w:val="24"/>
          <w:sz-cs w:val="24"/>
          <w:spacing w:val="0"/>
          <w:color w:val="000000"/>
        </w:rPr>
        <w:t xml:space="preserve">* 5.4.2 Ambulatory Surgical Centers</w:t>
      </w:r>
    </w:p>
    <w:p>
      <w:pPr/>
      <w:r>
        <w:rPr>
          <w:rFonts w:ascii="Helvetica" w:hAnsi="Helvetica" w:cs="Helvetica"/>
          <w:sz w:val="24"/>
          <w:sz-cs w:val="24"/>
          <w:spacing w:val="0"/>
          <w:color w:val="000000"/>
        </w:rPr>
        <w:t xml:space="preserve">* 5.4.3 Specialty Clinics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and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Olympus Corporation</w:t>
      </w:r>
    </w:p>
    <w:p>
      <w:pPr/>
      <w:r>
        <w:rPr>
          <w:rFonts w:ascii="Helvetica" w:hAnsi="Helvetica" w:cs="Helvetica"/>
          <w:sz w:val="24"/>
          <w:sz-cs w:val="24"/>
          <w:spacing w:val="0"/>
          <w:color w:val="000000"/>
        </w:rPr>
        <w:t xml:space="preserve">* 6.3.2 Boston Scientific Corporation</w:t>
      </w:r>
    </w:p>
    <w:p>
      <w:pPr/>
      <w:r>
        <w:rPr>
          <w:rFonts w:ascii="Helvetica" w:hAnsi="Helvetica" w:cs="Helvetica"/>
          <w:sz w:val="24"/>
          <w:sz-cs w:val="24"/>
          <w:spacing w:val="0"/>
          <w:color w:val="000000"/>
        </w:rPr>
        <w:t xml:space="preserve">* 6.3.3 Medtronic PLC</w:t>
      </w:r>
    </w:p>
    <w:p>
      <w:pPr/>
      <w:r>
        <w:rPr>
          <w:rFonts w:ascii="Helvetica" w:hAnsi="Helvetica" w:cs="Helvetica"/>
          <w:sz w:val="24"/>
          <w:sz-cs w:val="24"/>
          <w:spacing w:val="0"/>
          <w:color w:val="000000"/>
        </w:rPr>
        <w:t xml:space="preserve">* 6.3.4 Fujifilm Holdings Corporation</w:t>
      </w:r>
    </w:p>
    <w:p>
      <w:pPr/>
      <w:r>
        <w:rPr>
          <w:rFonts w:ascii="Helvetica" w:hAnsi="Helvetica" w:cs="Helvetica"/>
          <w:sz w:val="24"/>
          <w:sz-cs w:val="24"/>
          <w:spacing w:val="0"/>
          <w:color w:val="000000"/>
        </w:rPr>
        <w:t xml:space="preserve">* 6.3.5 Karl Storz SE &amp; Co. KG</w:t>
      </w:r>
    </w:p>
    <w:p>
      <w:pPr/>
      <w:r>
        <w:rPr>
          <w:rFonts w:ascii="Helvetica" w:hAnsi="Helvetica" w:cs="Helvetica"/>
          <w:sz w:val="24"/>
          <w:sz-cs w:val="24"/>
          <w:spacing w:val="0"/>
          <w:color w:val="000000"/>
        </w:rPr>
        <w:t xml:space="preserve">* 6.3.6 Stryker Corporation</w:t>
      </w:r>
    </w:p>
    <w:p>
      <w:pPr/>
      <w:r>
        <w:rPr>
          <w:rFonts w:ascii="Helvetica" w:hAnsi="Helvetica" w:cs="Helvetica"/>
          <w:sz w:val="24"/>
          <w:sz-cs w:val="24"/>
          <w:spacing w:val="0"/>
          <w:color w:val="000000"/>
        </w:rPr>
        <w:t xml:space="preserve">* 6.3.7 Johnson &amp; Johnson (Ethicon Endo-Surgery)</w:t>
      </w:r>
    </w:p>
    <w:p>
      <w:pPr/>
      <w:r>
        <w:rPr>
          <w:rFonts w:ascii="Helvetica" w:hAnsi="Helvetica" w:cs="Helvetica"/>
          <w:sz w:val="24"/>
          <w:sz-cs w:val="24"/>
          <w:spacing w:val="0"/>
          <w:color w:val="000000"/>
        </w:rPr>
        <w:t xml:space="preserve">* 6.3.8 Hoya Corporation (Pentax Medical)</w:t>
      </w:r>
    </w:p>
    <w:p>
      <w:pPr/>
      <w:r>
        <w:rPr>
          <w:rFonts w:ascii="Helvetica" w:hAnsi="Helvetica" w:cs="Helvetica"/>
          <w:sz w:val="24"/>
          <w:sz-cs w:val="24"/>
          <w:spacing w:val="0"/>
          <w:color w:val="000000"/>
        </w:rPr>
        <w:t xml:space="preserve">* 6.3.9 CONMED Corporation</w:t>
      </w:r>
    </w:p>
    <w:p>
      <w:pPr/>
      <w:r>
        <w:rPr>
          <w:rFonts w:ascii="Helvetica" w:hAnsi="Helvetica" w:cs="Helvetica"/>
          <w:sz w:val="24"/>
          <w:sz-cs w:val="24"/>
          <w:spacing w:val="0"/>
          <w:color w:val="000000"/>
        </w:rPr>
        <w:t xml:space="preserve">* 6.3.10 Richard Wolf GmbH</w:t>
      </w:r>
    </w:p>
    <w:p>
      <w:pPr/>
      <w:r>
        <w:rPr>
          <w:rFonts w:ascii="Helvetica" w:hAnsi="Helvetica" w:cs="Helvetica"/>
          <w:sz w:val="24"/>
          <w:sz-cs w:val="24"/>
          <w:spacing w:val="0"/>
          <w:color w:val="000000"/>
        </w:rPr>
        <w:t xml:space="preserve">* 6.3.11 Cook Group Incorporated</w:t>
      </w:r>
    </w:p>
    <w:p>
      <w:pPr/>
      <w:r>
        <w:rPr>
          <w:rFonts w:ascii="Helvetica" w:hAnsi="Helvetica" w:cs="Helvetica"/>
          <w:sz w:val="24"/>
          <w:sz-cs w:val="24"/>
          <w:spacing w:val="0"/>
          <w:color w:val="000000"/>
        </w:rPr>
        <w:t xml:space="preserve">* 6.3.12 Smith &amp; Nephew PLC</w:t>
      </w:r>
    </w:p>
    <w:p>
      <w:pPr/>
      <w:r>
        <w:rPr>
          <w:rFonts w:ascii="Helvetica" w:hAnsi="Helvetica" w:cs="Helvetica"/>
          <w:sz w:val="24"/>
          <w:sz-cs w:val="24"/>
          <w:spacing w:val="0"/>
          <w:color w:val="000000"/>
        </w:rPr>
        <w:t xml:space="preserve">* 6.3.13 Intuitive Surgical Inc.</w:t>
      </w:r>
    </w:p>
    <w:p>
      <w:pPr/>
      <w:r>
        <w:rPr>
          <w:rFonts w:ascii="Helvetica" w:hAnsi="Helvetica" w:cs="Helvetica"/>
          <w:sz w:val="24"/>
          <w:sz-cs w:val="24"/>
          <w:spacing w:val="0"/>
          <w:color w:val="000000"/>
        </w:rPr>
        <w:t xml:space="preserve">* 6.3.14 Ambu A/S</w:t>
      </w:r>
    </w:p>
    <w:p>
      <w:pPr/>
      <w:r>
        <w:rPr>
          <w:rFonts w:ascii="Helvetica" w:hAnsi="Helvetica" w:cs="Helvetica"/>
          <w:sz w:val="24"/>
          <w:sz-cs w:val="24"/>
          <w:spacing w:val="0"/>
          <w:color w:val="000000"/>
        </w:rPr>
        <w:t xml:space="preserve">* 6.3.15 Arthrex Inc.</w:t>
      </w:r>
    </w:p>
    <w:p>
      <w:pPr/>
      <w:r>
        <w:rPr>
          <w:rFonts w:ascii="Helvetica" w:hAnsi="Helvetica" w:cs="Helvetica"/>
          <w:sz w:val="24"/>
          <w:sz-cs w:val="24"/>
          <w:spacing w:val="0"/>
          <w:color w:val="000000"/>
        </w:rPr>
        <w:t xml:space="preserve">* 6.3.16 B. Braun Melsungen AG</w:t>
      </w:r>
    </w:p>
    <w:p>
      <w:pPr/>
      <w:r>
        <w:rPr>
          <w:rFonts w:ascii="Helvetica" w:hAnsi="Helvetica" w:cs="Helvetica"/>
          <w:sz w:val="24"/>
          <w:sz-cs w:val="24"/>
          <w:spacing w:val="0"/>
          <w:color w:val="000000"/>
        </w:rPr>
        <w:t xml:space="preserve">* 6.3.17 Ackermann Instrumente GmbH</w:t>
      </w:r>
    </w:p>
    <w:p>
      <w:pPr/>
      <w:r>
        <w:rPr>
          <w:rFonts w:ascii="Helvetica" w:hAnsi="Helvetica" w:cs="Helvetica"/>
          <w:sz w:val="24"/>
          <w:sz-cs w:val="24"/>
          <w:spacing w:val="0"/>
          <w:color w:val="000000"/>
        </w:rPr>
        <w:t xml:space="preserve">* 6.3.18 Steris PLC</w:t>
      </w:r>
    </w:p>
    <w:p>
      <w:pPr/>
      <w:r>
        <w:rPr>
          <w:rFonts w:ascii="Helvetica" w:hAnsi="Helvetica" w:cs="Helvetica"/>
          <w:sz w:val="24"/>
          <w:sz-cs w:val="24"/>
          <w:spacing w:val="0"/>
          <w:color w:val="000000"/>
        </w:rPr>
        <w:t xml:space="preserve">* 6.3.19 Interscope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study, the endoscopy devices market is counted as the value of equipment and device sets used to visualize, access, and treat inside the body using endoscopic procedures, across hospitals and outpatient care, and across all major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reprocessing chemicals, large capital imaging systems that are not endoscopy-specific, and non-medical over-the-counter camera pills without medical clearance.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Device Type* Endoscopes* Rigid Endoscopes</w:t>
      </w:r>
    </w:p>
    <w:p>
      <w:pPr/>
      <w:r>
        <w:rPr>
          <w:rFonts w:ascii="Helvetica" w:hAnsi="Helvetica" w:cs="Helvetica"/>
          <w:sz w:val="24"/>
          <w:sz-cs w:val="24"/>
          <w:spacing w:val="0"/>
          <w:color w:val="000000"/>
        </w:rPr>
        <w:t xml:space="preserve">* Flexible Endoscopes</w:t>
      </w:r>
    </w:p>
    <w:p>
      <w:pPr/>
      <w:r>
        <w:rPr>
          <w:rFonts w:ascii="Helvetica" w:hAnsi="Helvetica" w:cs="Helvetica"/>
          <w:sz w:val="24"/>
          <w:sz-cs w:val="24"/>
          <w:spacing w:val="0"/>
          <w:color w:val="000000"/>
        </w:rPr>
        <w:t xml:space="preserve">* Capsule Endoscopes</w:t>
      </w:r>
    </w:p>
    <w:p>
      <w:pPr/>
      <w:r>
        <w:rPr>
          <w:rFonts w:ascii="Helvetica" w:hAnsi="Helvetica" w:cs="Helvetica"/>
          <w:sz w:val="24"/>
          <w:sz-cs w:val="24"/>
          <w:spacing w:val="0"/>
          <w:color w:val="000000"/>
        </w:rPr>
        <w:t xml:space="preserve">* Robotic-assisted Endoscopes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Endoscopic Operative Devices* Irrigation / Suction Systems</w:t>
      </w:r>
    </w:p>
    <w:p>
      <w:pPr/>
      <w:r>
        <w:rPr>
          <w:rFonts w:ascii="Helvetica" w:hAnsi="Helvetica" w:cs="Helvetica"/>
          <w:sz w:val="24"/>
          <w:sz-cs w:val="24"/>
          <w:spacing w:val="0"/>
          <w:color w:val="000000"/>
        </w:rPr>
        <w:t xml:space="preserve">* Access Devices</w:t>
      </w:r>
    </w:p>
    <w:p>
      <w:pPr/>
      <w:r>
        <w:rPr>
          <w:rFonts w:ascii="Helvetica" w:hAnsi="Helvetica" w:cs="Helvetica"/>
          <w:sz w:val="24"/>
          <w:sz-cs w:val="24"/>
          <w:spacing w:val="0"/>
          <w:color w:val="000000"/>
        </w:rPr>
        <w:t xml:space="preserve">* Wound Protectors</w:t>
      </w:r>
    </w:p>
    <w:p>
      <w:pPr/>
      <w:r>
        <w:rPr>
          <w:rFonts w:ascii="Helvetica" w:hAnsi="Helvetica" w:cs="Helvetica"/>
          <w:sz w:val="24"/>
          <w:sz-cs w:val="24"/>
          <w:spacing w:val="0"/>
          <w:color w:val="000000"/>
        </w:rPr>
        <w:t xml:space="preserve">* Insufflation Devices</w:t>
      </w:r>
    </w:p>
    <w:p>
      <w:pPr/>
      <w:r>
        <w:rPr>
          <w:rFonts w:ascii="Helvetica" w:hAnsi="Helvetica" w:cs="Helvetica"/>
          <w:sz w:val="24"/>
          <w:sz-cs w:val="24"/>
          <w:spacing w:val="0"/>
          <w:color w:val="000000"/>
        </w:rPr>
        <w:t xml:space="preserve">* Manual Instruments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Visualization Equipment* Endoscopic Cameras</w:t>
      </w:r>
    </w:p>
    <w:p>
      <w:pPr/>
      <w:r>
        <w:rPr>
          <w:rFonts w:ascii="Helvetica" w:hAnsi="Helvetica" w:cs="Helvetica"/>
          <w:sz w:val="24"/>
          <w:sz-cs w:val="24"/>
          <w:spacing w:val="0"/>
          <w:color w:val="000000"/>
        </w:rPr>
        <w:t xml:space="preserve">* SD Visualization Systems</w:t>
      </w:r>
    </w:p>
    <w:p>
      <w:pPr/>
      <w:r>
        <w:rPr>
          <w:rFonts w:ascii="Helvetica" w:hAnsi="Helvetica" w:cs="Helvetica"/>
          <w:sz w:val="24"/>
          <w:sz-cs w:val="24"/>
          <w:spacing w:val="0"/>
          <w:color w:val="000000"/>
        </w:rPr>
        <w:t xml:space="preserve">* HD / 4K Visualization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Gastrointestinal Endoscopy</w:t>
      </w:r>
    </w:p>
    <w:p>
      <w:pPr/>
      <w:r>
        <w:rPr>
          <w:rFonts w:ascii="Helvetica" w:hAnsi="Helvetica" w:cs="Helvetica"/>
          <w:sz w:val="24"/>
          <w:sz-cs w:val="24"/>
          <w:spacing w:val="0"/>
          <w:color w:val="000000"/>
        </w:rPr>
        <w:t xml:space="preserve">* Laparoscopy</w:t>
      </w:r>
    </w:p>
    <w:p>
      <w:pPr/>
      <w:r>
        <w:rPr>
          <w:rFonts w:ascii="Helvetica" w:hAnsi="Helvetica" w:cs="Helvetica"/>
          <w:sz w:val="24"/>
          <w:sz-cs w:val="24"/>
          <w:spacing w:val="0"/>
          <w:color w:val="000000"/>
        </w:rPr>
        <w:t xml:space="preserve">* Pulmonology / Bronchoscopy</w:t>
      </w:r>
    </w:p>
    <w:p>
      <w:pPr/>
      <w:r>
        <w:rPr>
          <w:rFonts w:ascii="Helvetica" w:hAnsi="Helvetica" w:cs="Helvetica"/>
          <w:sz w:val="24"/>
          <w:sz-cs w:val="24"/>
          <w:spacing w:val="0"/>
          <w:color w:val="000000"/>
        </w:rPr>
        <w:t xml:space="preserve">* ENT / Otolaryngology</w:t>
      </w:r>
    </w:p>
    <w:p>
      <w:pPr/>
      <w:r>
        <w:rPr>
          <w:rFonts w:ascii="Helvetica" w:hAnsi="Helvetica" w:cs="Helvetica"/>
          <w:sz w:val="24"/>
          <w:sz-cs w:val="24"/>
          <w:spacing w:val="0"/>
          <w:color w:val="000000"/>
        </w:rPr>
        <w:t xml:space="preserve">* Urology</w:t>
      </w:r>
    </w:p>
    <w:p>
      <w:pPr/>
      <w:r>
        <w:rPr>
          <w:rFonts w:ascii="Helvetica" w:hAnsi="Helvetica" w:cs="Helvetica"/>
          <w:sz w:val="24"/>
          <w:sz-cs w:val="24"/>
          <w:spacing w:val="0"/>
          <w:color w:val="000000"/>
        </w:rPr>
        <w:t xml:space="preserve">* Gynecology</w:t>
      </w:r>
    </w:p>
    <w:p>
      <w:pPr/>
      <w:r>
        <w:rPr>
          <w:rFonts w:ascii="Helvetica" w:hAnsi="Helvetica" w:cs="Helvetica"/>
          <w:sz w:val="24"/>
          <w:sz-cs w:val="24"/>
          <w:spacing w:val="0"/>
          <w:color w:val="000000"/>
        </w:rPr>
        <w:t xml:space="preserve">* Cardiology</w:t>
      </w:r>
    </w:p>
    <w:p>
      <w:pPr/>
      <w:r>
        <w:rPr>
          <w:rFonts w:ascii="Helvetica" w:hAnsi="Helvetica" w:cs="Helvetica"/>
          <w:sz w:val="24"/>
          <w:sz-cs w:val="24"/>
          <w:spacing w:val="0"/>
          <w:color w:val="000000"/>
        </w:rPr>
        <w:t xml:space="preserve">* Neurology</w:t>
      </w:r>
    </w:p>
    <w:p>
      <w:pPr/>
      <w:r>
        <w:rPr>
          <w:rFonts w:ascii="Helvetica" w:hAnsi="Helvetica" w:cs="Helvetica"/>
          <w:sz w:val="24"/>
          <w:sz-cs w:val="24"/>
          <w:spacing w:val="0"/>
          <w:color w:val="000000"/>
        </w:rPr>
        <w:t xml:space="preserve">* Orthopedics / Arthroscopy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Usability* Reprocessed / Reusable Devices</w:t>
      </w:r>
    </w:p>
    <w:p>
      <w:pPr/>
      <w:r>
        <w:rPr>
          <w:rFonts w:ascii="Helvetica" w:hAnsi="Helvetica" w:cs="Helvetica"/>
          <w:sz w:val="24"/>
          <w:sz-cs w:val="24"/>
          <w:spacing w:val="0"/>
          <w:color w:val="000000"/>
        </w:rPr>
        <w:t xml:space="preserve">* Single-use / Disposable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Hospitals &amp; Academic Medical Centers</w:t>
      </w:r>
    </w:p>
    <w:p>
      <w:pPr/>
      <w:r>
        <w:rPr>
          <w:rFonts w:ascii="Helvetica" w:hAnsi="Helvetica" w:cs="Helvetica"/>
          <w:sz w:val="24"/>
          <w:sz-cs w:val="24"/>
          <w:spacing w:val="0"/>
          <w:color w:val="000000"/>
        </w:rPr>
        <w:t xml:space="preserve">* Ambulatory Surgical Centers</w:t>
      </w:r>
    </w:p>
    <w:p>
      <w:pPr/>
      <w:r>
        <w:rPr>
          <w:rFonts w:ascii="Helvetica" w:hAnsi="Helvetica" w:cs="Helvetica"/>
          <w:sz w:val="24"/>
          <w:sz-cs w:val="24"/>
          <w:spacing w:val="0"/>
          <w:color w:val="000000"/>
        </w:rPr>
        <w:t xml:space="preserve">* Specialty Clinics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set the market boundary, build the procedure and installed-base context, and sanity-check pricing and utilization patterns before interviews were started. We referenced public sources such as the World Health Organization for disease burden signals, the OECD for health system capacity indicators, the US FDA device and safety databases for product clearances and recalls, and national health statistics portals that publish procedure or hospital activity series.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bridge gaps that public sources do not cover well, we also used company annual reports, investor decks, and reputable medical society pages that discuss endoscopy adoption and guideline changes. Where required, we used paid subscriptions focused on company financials and a patent database to confirm product portfolios and timing of technology shifts. These examples are not exhaustive, and many other public sources were reviewed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run to confirm what gets counted as an endoscopy device in real purchasing, and to pressure-test the procedure-to-device demand links by geography. We spoke with manufacturers and distributors, hospital procurement teams, ambulatory centers, and clinician stakeholders, then used their inputs to tune adoption rates, replacement cycles, and pricing logic for both capital equipment and accessories.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34% | CXOs: 17% | APAC: 52% | </w:t>
      </w:r>
    </w:p>
    <w:p>
      <w:pPr/>
      <w:r>
        <w:rPr>
          <w:rFonts w:ascii="Helvetica" w:hAnsi="Helvetica" w:cs="Helvetica"/>
          <w:sz w:val="24"/>
          <w:sz-cs w:val="24"/>
          <w:spacing w:val="0"/>
          <w:color w:val="000000"/>
        </w:rPr>
        <w:t xml:space="preserve">Mid tier: 48% | Functional/Unit leaders: 37% | EMEA: 29% | </w:t>
      </w:r>
    </w:p>
    <w:p>
      <w:pPr/>
      <w:r>
        <w:rPr>
          <w:rFonts w:ascii="Helvetica" w:hAnsi="Helvetica" w:cs="Helvetica"/>
          <w:sz w:val="24"/>
          <w:sz-cs w:val="24"/>
          <w:spacing w:val="0"/>
          <w:color w:val="000000"/>
        </w:rPr>
        <w:t xml:space="preserve">Smaller Players: 18% | Managers: 46%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core model uses top-down sizing where procedure volumes and care-setting capacity are reconstructed into a device demand pool, and then translated into value through typical device-per-procedure links and price bands. This was checked with selective bottom-up approximations, including sampled ASP times volume for key device groups and channel feedback on mix shifts, which helped adjust totals where reporting was uneven.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that mattered in this market included endoscopy procedure volumes by specialty, the installed base of visualization systems and scopes, replacement and repair cycles, the share of single-use versus reusable accessories, and regional reimbursement and infection-control requirements that change purchasing behavior. In places where procedure data was not published consistently, proxies such as hospital activity series and import-export signals for endoscopy device categories were used, and assumptions were confirmed through interviews.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used scenario analysis supported by multivariate regression checks, so growth could be tied back to procedure growth, aging population signals, facility expansion, and technology-led shifts toward minimally invasive care. Where the model could not be fully built at a country level, we filled gaps using peer country analogs and then rebalanced totals back to regional and global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Results were validated through triangulation across procedure signals, installed-base logic, and supplier-side feedback, then reviewed for outliers such as sudden price jumps or unrealistically fast adoption. When a variance was detected, we re-opened the underlying assumption and triggered targeted follow-ups with interviewees to confirm whether the shift came from mix, currency timing, or a true demand change.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Each report goes through multi-step analyst review before sign-off, including cross-checks against independent health system indicators and trade flow directionality. The study is refreshed annually, and interim updates are made when material events occur. After that, a final pre-delivery pass is completed so clients receive the latest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Global Endoscopy Devices Market Market Size Compared Against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It is normal to see different market sizes for endoscopy devices because teams set boundaries and counting rules in their own ways, and they also anchor to different years. Differences usually show up around what is treated as an endoscopy device versus an adjacent tool, how pricing is averaged, and whether values are reported in constant dollars or current dollars.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tracking scope at the manufacturer invoice level and refreshing constant-dollar assumptions each cycle, Mordor Intelligence keeps the 2025 total focused on visualization systems, endoscopes, operative instruments, and accessory sets, rather than adding broader pre-procedure and post-procedure items or non-endoscopy imaging spend that can inflate totals.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40.10 B (2025) | | </w:t>
      </w:r>
    </w:p>
    <w:p>
      <w:pPr/>
      <w:r>
        <w:rPr>
          <w:rFonts w:ascii="Helvetica" w:hAnsi="Helvetica" w:cs="Helvetica"/>
          <w:sz w:val="24"/>
          <w:sz-cs w:val="24"/>
          <w:spacing w:val="0"/>
          <w:color w:val="000000"/>
        </w:rPr>
        <w:t xml:space="preserve">Global Consultancy A | USD 63.56 B (2025) | This estimate appears to include a wider spend basket, including related devices used before and after procedures, which expands the addressable value beyond core endoscopy towers, scopes, and accessories. It also anchors around a 2024 to 2025 value path that can reflect current-dollar pricing and a broader country list in the roll-up. | </w:t>
      </w:r>
    </w:p>
    <w:p>
      <w:pPr/>
      <w:r>
        <w:rPr>
          <w:rFonts w:ascii="Helvetica" w:hAnsi="Helvetica" w:cs="Helvetica"/>
          <w:sz w:val="24"/>
          <w:sz-cs w:val="24"/>
          <w:spacing w:val="0"/>
          <w:color w:val="000000"/>
        </w:rPr>
        <w:t xml:space="preserve">Research Publisher B | USD 29.30 B (2024) | This figure is anchored to 2024 and may apply narrower product inclusion or a different treatment of accessories and service-related bundles, which can push the total down. A longer 10-year forecast window can also smooth near-term mix shifts, making the starting market value look more conservative. | </w:t>
      </w:r>
    </w:p>
    <w:p>
      <w:pPr/>
      <w:r>
        <w:rPr>
          <w:rFonts w:ascii="Helvetica" w:hAnsi="Helvetica" w:cs="Helvetica"/>
          <w:sz w:val="24"/>
          <w:sz-cs w:val="24"/>
          <w:spacing w:val="0"/>
          <w:color w:val="000000"/>
        </w:rPr>
        <w:t xml:space="preserve">The spread in the table mostly comes from what is counted around the core device set, and from the year and pricing conventions used to translate volumes into dollars. Our approach is intended to be repeatable, since each step ties back to observable procedure activity, installed-base behavior, and interview-checked pricing ranges.</w:t>
      </w:r>
    </w:p>
    <w:p>
      <w:pPr/>
      <w:r>
        <w:rPr>
          <w:rFonts w:ascii="Helvetica" w:hAnsi="Helvetica" w:cs="Helvetica"/>
          <w:sz w:val="24"/>
          <w:sz-cs w:val="24"/>
          <w:spacing w:val="0"/>
          <w:color w:val="000000"/>
        </w:rPr>
        <w:t xml:space="preserve">Key Questions Answered in the ReportWhat is the projected value of the endoscopy devices market in 2031? The endoscopy devices market is forecast to reach USD 58.71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device category is expanding the fastest? Visualization equipment is growing quickest, registering an 8.25% CAGR through 2031 thanks to 4K and AI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ambulatory surgical centers important for future demand? ASCs benefit from site-neutral payment reforms that lower procedure costs, propelling a 9.7% CAGR through 2031 in equipment purchases.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are single-use scopes growing? Disposable endoscopes are advancing at a 10.87% CAGR as infection-control mandates intensify.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record the swiftest growth? Asia-Pacific leads with an 8.51% CAGR, driven by expanded reimbursement in China, India, and Japan.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regulatory hurdle facing manufacturers? Compliance with stricter FDA post-market surveillance and Europe's MDR raises development costs and lengthens approval timelines.</w:t>
      </w:r>
    </w:p>
    <w:p>
      <w:pPr/>
      <w:r>
        <w:rPr>
          <w:rFonts w:ascii="Helvetica" w:hAnsi="Helvetica" w:cs="Helvetica"/>
          <w:sz w:val="24"/>
          <w:sz-cs w:val="24"/>
          <w:spacing w:val="0"/>
          <w:color w:val="000000"/>
        </w:rPr>
        <w:t xml:space="preserve">Related ReportsEurope Arthroscopy Devices IndustryArthroscopy Devices Industry OverviewNorth America Arthroscopy Devices MarketRobotic Endoscopy Devices Market SizeMedical Device Leak Testing Market</w:t>
      </w:r>
    </w:p>
    <w:p>
      <w:pPr/>
      <w:r>
        <w:rPr>
          <w:rFonts w:ascii="Helvetica" w:hAnsi="Helvetica" w:cs="Helvetica"/>
          <w:sz w:val="24"/>
          <w:sz-cs w:val="24"/>
          <w:spacing w:val="0"/>
          <w:color w:val="000000"/>
        </w:rPr>
        <w:t xml:space="preserve">Endoscopy Devices Market Report Snapshots* Endoscopy Devices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