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Facade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[https://www.mordorintelligence.com/industry-reports/global-facade-market](https://www.mordorintelligence.com/industry-reports/global-facade-market)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309.72 billion |</w:t>
      </w:r>
    </w:p>
    <w:p>
      <w:pPr/>
      <w:r>
        <w:rPr>
          <w:rFonts w:ascii="Helvetica Light" w:hAnsi="Helvetica Light" w:cs="Helvetica Light"/>
          <w:sz w:val="24"/>
          <w:sz-cs w:val="24"/>
        </w:rPr>
        <w:t xml:space="preserve">| **Projected Forecast (2031)** | USD 309.72 billion |</w:t>
      </w:r>
    </w:p>
    <w:p>
      <w:pPr/>
      <w:r>
        <w:rPr>
          <w:rFonts w:ascii="Helvetica Light" w:hAnsi="Helvetica Light" w:cs="Helvetica Light"/>
          <w:sz w:val="24"/>
          <w:sz-cs w:val="24"/>
        </w:rPr>
        <w:t xml:space="preserve">| **Growth Rate (CAGR)** | 5.31 %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Facade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![Facade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![Facade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![Facade Market Share by Material,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![Facade Market Share by End-User,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![Facade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![Facade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309.72 Billion | </w:t>
      </w:r>
    </w:p>
    <w:p>
      <w:pPr/>
      <w:r>
        <w:rPr>
          <w:rFonts w:ascii="Helvetica Light" w:hAnsi="Helvetica Light" w:cs="Helvetica Light"/>
          <w:sz w:val="24"/>
          <w:sz-cs w:val="24"/>
        </w:rPr>
        <w:t xml:space="preserve">Market Size (2031) | USD 401.21 Billion | </w:t>
      </w:r>
    </w:p>
    <w:p>
      <w:pPr/>
      <w:r>
        <w:rPr>
          <w:rFonts w:ascii="Helvetica Light" w:hAnsi="Helvetica Light" w:cs="Helvetica Light"/>
          <w:sz w:val="24"/>
          <w:sz-cs w:val="24"/>
        </w:rPr>
        <w:t xml:space="preserve">Growth Rate (2026 - 2031) | 5.31 %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Facade Market Analysis by Mordor IntelligenceThe Facade Market size is projected to expand from USD 294.11 billion in 2025 and USD 309.72 billion in 2026 to USD 401.21 billion by 2031, registering a CAGR of 5.31%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Accelerating urbanization, stricter energy codes, and the shift toward factory-built envelope solutions are reinforcing demand as developers seek faster project delivery and better thermal, acoustic, and fire performance. High-rise pipelines in Asia-Pacific and the Middle East continue to specify premium curtain walls, while North American and European owners replace aging cladding to comply with zero-carbon targets. Volatility in aluminum and float-glass costs compressed contractor margins during 2025, yet price-adjustment clauses and procurement hedges are helping stabilize bid activity. At the same time, suppliers with in-house testing facilities are gaining an advantage as jurisdictions broaden NFPA 285 and similar fire-test mandates.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ventilated facades accounted for 52.9% of the facade market in 2025 and are projected to grow at a 5.98% CAGR through 2031.</w:t>
      </w:r>
    </w:p>
    <w:p>
      <w:pPr/>
      <w:r>
        <w:rPr>
          <w:rFonts w:ascii="Helvetica Light" w:hAnsi="Helvetica Light" w:cs="Helvetica Light"/>
          <w:sz w:val="24"/>
          <w:sz-cs w:val="24"/>
        </w:rPr>
        <w:t xml:space="preserve">* By facade system, curtain walls accounted for 41.6% of the facade market in 2025, while rainscreen cladding is forecast to expand at a 6.08% CAGR through 2031.</w:t>
      </w:r>
    </w:p>
    <w:p>
      <w:pPr/>
      <w:r>
        <w:rPr>
          <w:rFonts w:ascii="Helvetica Light" w:hAnsi="Helvetica Light" w:cs="Helvetica Light"/>
          <w:sz w:val="24"/>
          <w:sz-cs w:val="24"/>
        </w:rPr>
        <w:t xml:space="preserve">* By material, glass accounted for 39.8% of the facades market in 2025 and is projected to grow at a 5.90% CAGR through 2031.</w:t>
      </w:r>
    </w:p>
    <w:p>
      <w:pPr/>
      <w:r>
        <w:rPr>
          <w:rFonts w:ascii="Helvetica Light" w:hAnsi="Helvetica Light" w:cs="Helvetica Light"/>
          <w:sz w:val="24"/>
          <w:sz-cs w:val="24"/>
        </w:rPr>
        <w:t xml:space="preserve">* By installation mode, new construction accounted for 64.2% of the facade market in 2025; retrofit installations are advancing at a 6.29% CAGR through 2031.</w:t>
      </w:r>
    </w:p>
    <w:p>
      <w:pPr/>
      <w:r>
        <w:rPr>
          <w:rFonts w:ascii="Helvetica Light" w:hAnsi="Helvetica Light" w:cs="Helvetica Light"/>
          <w:sz w:val="24"/>
          <w:sz-cs w:val="24"/>
        </w:rPr>
        <w:t xml:space="preserve">* By end user, the commercial segment held 67.1% of the facade market share in 2025, whereas residential projects are set to grow at a 6.18% CAGR through 2031.</w:t>
      </w:r>
    </w:p>
    <w:p>
      <w:pPr/>
      <w:r>
        <w:rPr>
          <w:rFonts w:ascii="Helvetica Light" w:hAnsi="Helvetica Light" w:cs="Helvetica Light"/>
          <w:sz w:val="24"/>
          <w:sz-cs w:val="24"/>
        </w:rPr>
        <w:t xml:space="preserve">* By geography, Asia-Pacific accounted for 38.5% of the facade market share in 2025, but the Middle East and Africa region is expected to register the fastest CAGR of 6.48%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Facade Market*Drivers | (~) % IMPACT ON CAGR FORECAST | Geographic Relevance | Impact Timeline | </w:t>
      </w:r>
    </w:p>
    <w:p>
      <w:pPr/>
      <w:r>
        <w:rPr>
          <w:rFonts w:ascii="Helvetica Light" w:hAnsi="Helvetica Light" w:cs="Helvetica Light"/>
          <w:sz w:val="24"/>
          <w:sz-cs w:val="24"/>
        </w:rPr>
        <w:t xml:space="preserve">Code-driven demand for non-combustible and fire-rated façade assemblies | +1.10% | North America, Europe, Australasia | Short term (≤ 2 years) | </w:t>
      </w:r>
    </w:p>
    <w:p>
      <w:pPr/>
      <w:r>
        <w:rPr>
          <w:rFonts w:ascii="Helvetica Light" w:hAnsi="Helvetica Light" w:cs="Helvetica Light"/>
          <w:sz w:val="24"/>
          <w:sz-cs w:val="24"/>
        </w:rPr>
        <w:t xml:space="preserve">Increasing retrofit of aging buildings with insulated overcladding | +1.00% | North America, Europe, Developed Asia-Pacific | Long term (≥ 4 years) | </w:t>
      </w:r>
    </w:p>
    <w:p>
      <w:pPr/>
      <w:r>
        <w:rPr>
          <w:rFonts w:ascii="Helvetica Light" w:hAnsi="Helvetica Light" w:cs="Helvetica Light"/>
          <w:sz w:val="24"/>
          <w:sz-cs w:val="24"/>
        </w:rPr>
        <w:t xml:space="preserve">Large-scale mixed-use and high-rise projects requiring premium curtain wall systems | +0.90% | Asia-Pacific, Middle East | Medium term (2–4 years) | </w:t>
      </w:r>
    </w:p>
    <w:p>
      <w:pPr/>
      <w:r>
        <w:rPr>
          <w:rFonts w:ascii="Helvetica Light" w:hAnsi="Helvetica Light" w:cs="Helvetica Light"/>
          <w:sz w:val="24"/>
          <w:sz-cs w:val="24"/>
        </w:rPr>
        <w:t xml:space="preserve">Rising use of unitized systems to shorten construction schedules | +0.80% | North America, Western Europe | Medium term (2–4 years) | </w:t>
      </w:r>
    </w:p>
    <w:p>
      <w:pPr/>
      <w:r>
        <w:rPr>
          <w:rFonts w:ascii="Helvetica Light" w:hAnsi="Helvetica Light" w:cs="Helvetica Light"/>
          <w:sz w:val="24"/>
          <w:sz-cs w:val="24"/>
        </w:rPr>
        <w:t xml:space="preserve">Higher adoption of high-performance glass for thermal and solar control | +0.70% | Middle East, Tropical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moderate, with global envelope specialists—Permasteelisa, Schüco, Enclos—competing against vertically integrated materials giants such as Saint-Gobain, Kingspan, and AGC Glass. Scale players leverage in-house extrusion, coating, and testing to capture margin and assure compliance as codes tighten. Patent filings reveal strategic bets on phase-change glazing and PV spandrels, indicating a focus on energy-positive façades that bolster tenant ESG credentials.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fabricators carve profitable niches in bespoke geometries and rapid prototyping. Partnerships with computational-design firms enable parametric panels that legacy production lines struggle to replicate, granting boutique players premium margins on signature towers in Dubai, Kuala Lumpur, and Miami. Yet capacity constraints in jumbo-lite processing and custom extrusion often force these specialists to ally with multinational glass or aluminum groups for critical inputs, reinforcing a web of co-opetition within the facade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M&amp;A remains selective due to project-based revenues and differing local codes, but targeted acquisitions are rising. Kingspan’s 60% stake in a Guangdong insulated-panel maker secures a foothold in the Pearl River Delta, while Saint-Gobain’s capacity addition in Poland readies it for Europe’s retrofit surge. Automation investments, such as Permasteelisa’s Suzhou robotics line, and Norsk Hydro’s renewable-powered extrusion joint venture, show how leaders aim to lower cost, cut carbon, and lock in technical advantage as the facade industry pivots to performance-driven specifications.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Facade Industry Leaders* Saint-Gobain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Permasteelisa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Kingspan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Schüco International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Enclos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Facade Market Report ScopeBy TypeVentilated | </w:t>
      </w:r>
    </w:p>
    <w:p>
      <w:pPr/>
      <w:r>
        <w:rPr>
          <w:rFonts w:ascii="Helvetica Light" w:hAnsi="Helvetica Light" w:cs="Helvetica Light"/>
          <w:sz w:val="24"/>
          <w:sz-cs w:val="24"/>
        </w:rPr>
        <w:t xml:space="preserve">Non-Ventilated | </w:t>
      </w:r>
    </w:p>
    <w:p>
      <w:pPr/>
      <w:r>
        <w:rPr>
          <w:rFonts w:ascii="Helvetica Light" w:hAnsi="Helvetica Light" w:cs="Helvetica Light"/>
          <w:sz w:val="24"/>
          <w:sz-cs w:val="24"/>
        </w:rPr>
        <w:t xml:space="preserve">Other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and Africa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facade market today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facade market size reached USD 309.72 billion in 2026 and is projected to achieve USD 401.21 billion by 2031, advancing at a 5.31%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facade system is gaining ground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Rainscreen cladding is the fastest-growing system, expected to expand at a 6.08% CAGR as it dominates deep-energy retrofit projects needing mineral-wool insulation and non-combustibility.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factors most influence facade specification decisions in new high-rise towers?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Developers prioritize construction speed, code compliance, and energy performance, which is why unitized curtain walls with high-performance glass and fire-tested assemblies are favored.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retrofit work drawing more attention in North America and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Aging post-war buildings must meet zero-carbon and fire-safety mandates, and insulated overcladding can cut heating loads by up to 50% without displacing occupants, making retrofits attractive.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commodity price swings affecting facade contractors?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Sharp moves in aluminum and glass prices squeeze fixed-price contracts, prompting many owners to insert price-adjustment clauses, and pushing fabricators to hedge or renegotiate terms mid-project.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will drive facade demand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remains the largest purchaser, but the Middle East and Africa will post the fastest 6.48% CAGR on the strength of Saudi Vision 2030 and ongoing tower developments in the UAE.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