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Family Offices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Wealth, Asset Management &amp; Private Equity (Financial Services &amp; Investment Intelligence)  </w:t>
      </w:r>
    </w:p>
    <w:p>
      <w:pPr/>
      <w:r>
        <w:rPr>
          <w:rFonts w:ascii="Helvetica Light" w:hAnsi="Helvetica Light" w:cs="Helvetica Light"/>
          <w:sz w:val="24"/>
          <w:sz-cs w:val="24"/>
        </w:rPr>
        <w:t xml:space="preserve">&gt; **Source:** [https://www.mordorintelligence.com/industry-reports/global-family-offices-industry](https://www.mordorintelligence.com/industry-reports/global-family-offices-industry)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21.47 billion |</w:t>
      </w:r>
    </w:p>
    <w:p>
      <w:pPr/>
      <w:r>
        <w:rPr>
          <w:rFonts w:ascii="Helvetica Light" w:hAnsi="Helvetica Light" w:cs="Helvetica Light"/>
          <w:sz w:val="24"/>
          <w:sz-cs w:val="24"/>
        </w:rPr>
        <w:t xml:space="preserve">| **Projected Forecast (2031)** | USD 21.47 billion |</w:t>
      </w:r>
    </w:p>
    <w:p>
      <w:pPr/>
      <w:r>
        <w:rPr>
          <w:rFonts w:ascii="Helvetica Light" w:hAnsi="Helvetica Light" w:cs="Helvetica Light"/>
          <w:sz w:val="24"/>
          <w:sz-cs w:val="24"/>
        </w:rPr>
        <w:t xml:space="preserve">| **Growth Rate (CAGR)** | 6.67 %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Family Offices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Offices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Offices Market: Market Share by Family Office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Offices Market CAGR (%), Growth Rate by Region](images/chart_5.png)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Offices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21.47 Billion | </w:t>
      </w:r>
    </w:p>
    <w:p>
      <w:pPr/>
      <w:r>
        <w:rPr>
          <w:rFonts w:ascii="Helvetica Light" w:hAnsi="Helvetica Light" w:cs="Helvetica Light"/>
          <w:sz w:val="24"/>
          <w:sz-cs w:val="24"/>
        </w:rPr>
        <w:t xml:space="preserve">Market Size (2031) | USD 29.65 Billion | </w:t>
      </w:r>
    </w:p>
    <w:p>
      <w:pPr/>
      <w:r>
        <w:rPr>
          <w:rFonts w:ascii="Helvetica Light" w:hAnsi="Helvetica Light" w:cs="Helvetica Light"/>
          <w:sz w:val="24"/>
          <w:sz-cs w:val="24"/>
        </w:rPr>
        <w:t xml:space="preserve">Growth Rate (2026 - 2031) | 6.67 %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Offices Market Analysis by Mordor IntelligenceThe Family Offices Market size was valued at USD 20.13 billion in 2025 and is estimated to grow from USD 21.47 billion in 2026 to reach USD 29.65 billion by 2031, at a CAGR of 6.67%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UHNW families are shifting toward dedicated platforms as the global ultra-high-net-worth population surpassed 510,810 individuals in mid-2025 with USD 59.8 trillion in collective wealth and is projected to reach 676,970 by 2030, led by founders in technology, healthcare, and sustainable infrastructure[1]Altrata, “World Ultra Wealth Report 2025,” Altrata, altrata.com. Single Family Offices continue to anchor the family offices market, while Multi-Family Offices are gaining with faster growth due to scale benefits, access to institutional deal flow, and shared compliance capabilities that improve cost-to-serve for families below standalone thresholds. Alternative assets have become the largest portfolio block for many offices as private equity allocations average higher portfolio weights, and 70% of family offices executed direct investments in 2025 to improve fee efficiency and influence outcomes. Regionally, North America holds the largest share in the family offices market, while the Middle East and Africa are expanding fastest as Dubai and Abu Dhabi attract new formations with simplified rules and zero-tax regimes supported by modern financial-center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family office type, single-family offices led with 67.2% of the family offices market share in 2025. Multi-Family Offices are forecast to expand at a 7.8% CAGR through 2031.</w:t>
      </w:r>
    </w:p>
    <w:p>
      <w:pPr/>
      <w:r>
        <w:rPr>
          <w:rFonts w:ascii="Helvetica Light" w:hAnsi="Helvetica Light" w:cs="Helvetica Light"/>
          <w:sz w:val="24"/>
          <w:sz-cs w:val="24"/>
        </w:rPr>
        <w:t xml:space="preserve">* By asset-class allocation, alternatives accounted for the largest weight at 45.49% in f the family offices market share in 2025. alternatives are projected to grow at a 7.34% CAGR through 2031.</w:t>
      </w:r>
    </w:p>
    <w:p>
      <w:pPr/>
      <w:r>
        <w:rPr>
          <w:rFonts w:ascii="Helvetica Light" w:hAnsi="Helvetica Light" w:cs="Helvetica Light"/>
          <w:sz w:val="24"/>
          <w:sz-cs w:val="24"/>
        </w:rPr>
        <w:t xml:space="preserve">* By geography, North America held a 47.67% share in 2025. The Middle East and Africa are projected to post the highest regional growth at an 8.17%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Family Offices Market*Driver | (~) % Impact on CAGR Forecast | Geographic Relevance | Impact Timeline | </w:t>
      </w:r>
    </w:p>
    <w:p>
      <w:pPr/>
      <w:r>
        <w:rPr>
          <w:rFonts w:ascii="Helvetica Light" w:hAnsi="Helvetica Light" w:cs="Helvetica Light"/>
          <w:sz w:val="24"/>
          <w:sz-cs w:val="24"/>
        </w:rPr>
        <w:t xml:space="preserve">Rising number of UHNW individuals | +1.8% | Global, with North America and Asia-Pacific leading | Short term (≤ 2 years) | </w:t>
      </w:r>
    </w:p>
    <w:p>
      <w:pPr/>
      <w:r>
        <w:rPr>
          <w:rFonts w:ascii="Helvetica Light" w:hAnsi="Helvetica Light" w:cs="Helvetica Light"/>
          <w:sz w:val="24"/>
          <w:sz-cs w:val="24"/>
        </w:rPr>
        <w:t xml:space="preserve">Demand for bespoke wealth-management solutions | +1.5% | Global, particularly high in Europe and the Middle East | Medium term (2-4 years) | </w:t>
      </w:r>
    </w:p>
    <w:p>
      <w:pPr/>
      <w:r>
        <w:rPr>
          <w:rFonts w:ascii="Helvetica Light" w:hAnsi="Helvetica Light" w:cs="Helvetica Light"/>
          <w:sz w:val="24"/>
          <w:sz-cs w:val="24"/>
        </w:rPr>
        <w:t xml:space="preserve">Shift toward alternative &amp; private-market assets | +1.4% | Global core, with spillover to emerging hubs (Singapore, Dubai) | Long term (≥ 4 years) | </w:t>
      </w:r>
    </w:p>
    <w:p>
      <w:pPr/>
      <w:r>
        <w:rPr>
          <w:rFonts w:ascii="Helvetica Light" w:hAnsi="Helvetica Light" w:cs="Helvetica Light"/>
          <w:sz w:val="24"/>
          <w:sz-cs w:val="24"/>
        </w:rPr>
        <w:t xml:space="preserve">Professionalization &amp; institutionalization wave | +0.9% | North America and Europe are mature markets, and Asia-Pacific is an emerging market. | Medium term (2-4 years) | </w:t>
      </w:r>
    </w:p>
    <w:p>
      <w:pPr/>
      <w:r>
        <w:rPr>
          <w:rFonts w:ascii="Helvetica Light" w:hAnsi="Helvetica Light" w:cs="Helvetica Light"/>
          <w:sz w:val="24"/>
          <w:sz-cs w:val="24"/>
        </w:rPr>
        <w:t xml:space="preserve">Digital-asset custody rails for family offices | +0.7% | Early adoption in the UAE and Singapore, with the U.S. following after regulation | Long term (≥ 4 years) | </w:t>
      </w:r>
    </w:p>
    <w:p>
      <w:pPr/>
      <w:r>
        <w:rPr>
          <w:rFonts w:ascii="Helvetica Light" w:hAnsi="Helvetica Light" w:cs="Helvetica Light"/>
          <w:sz w:val="24"/>
          <w:sz-cs w:val="24"/>
        </w:rPr>
        <w:t xml:space="preserve">Jurisdictional arbitrage (Singapore, Dubai hubs) | +0.4% | Concentrated in the Middle East and Southeast Asia, with spillover to global mobility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family offices market remains fragmented with no single entity holding a double-digit share, and firms are scaling through acquisitions, alliances, and talent strategies to deliver integrated service stacks. Established single-family offices such as Cascade Investment and Walton Enterprises leverage long track records, direct investment engines, and access to top-tier private equity co-investments that smaller platforms cannot match on pricing or allocation size. Leading multi-family offices like ICONIQ Capital and Bessemer Trust differentiate with consolidated reporting, outsourced CIO frameworks, and in-house direct capabilities that meet the expanded scope of modern mandates. Technology-enabled virtual family office models are emerging with API integration across custodians and fund administrators, which helps reduce all-in costs and scale services for families in the USD 50–200 million band. As client expectations rise, firms in the family offices market must demonstrate control, data transparency, and co-investment access to win and retain multi-generational relationships.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changes for 2026 and beyond reinforce the advantage of scale as firms amortize compliance and technology investments across larger client bases. CRS 2.0 and CARF implementation require stronger KYC, beneficial ownership, and crypto-asset reporting, which is more cost-efficient for larger multi-family offices and integrated wealth platforms. The family offices market also reflects persistent talent scarcity, so firms compete by offering co-invest rights and long-term incentives across investment teams, especially for CIO-track roles. Large banks and asset managers participate as service providers with specialized custody, lending, and alternative distribution, which helps offices extend capabilities without fully rebuilding internally. Digital reporting standards and cybersecurity are now core differentiators as clients expect consolidated, near real-time portfolio visibility across public, private, and digital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in the family offices market emphasize direct investment sourcing, data modernization, and region-specific buildouts. Multi-family offices are deepening partnerships with top-quartile sponsors to secure co-invest allocations and improve net-of-fee outcomes for clients. Several platforms are expanding their presence in Singapore and Dubai to serve India- and Middle East-linked families that prefer tax-neutral hubs with predictable regulatory timelines. Technology programs are focused on data ingestion, reconciliation automation, and secured environments that reduce operational risk and support more frequent reporting cycles. The net effect is a competitive field where relationship depth must be matched by operational strength and transparent economics to win in the family offices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Offices Industry Leaders* Walton Enterprises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Cascade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Bezos Expeditions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MSD Capital / DFO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Bessemer Trust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family offices market is defined as the annual fee income earned for managing wealth and related services for ultra high net worth families through single, multi, and virtual family office structures.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private bank wealth desks, investment advisers that do not operate as family offices, and software only platforms with no ongoing advisory or management fee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Family Office Type* Single Family Office</w:t>
      </w:r>
    </w:p>
    <w:p>
      <w:pPr/>
      <w:r>
        <w:rPr>
          <w:rFonts w:ascii="Helvetica Light" w:hAnsi="Helvetica Light" w:cs="Helvetica Light"/>
          <w:sz w:val="24"/>
          <w:sz-cs w:val="24"/>
        </w:rPr>
        <w:t xml:space="preserve">* Multi-Family Office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Asset-Class Allocation* Bonds</w:t>
      </w:r>
    </w:p>
    <w:p>
      <w:pPr/>
      <w:r>
        <w:rPr>
          <w:rFonts w:ascii="Helvetica Light" w:hAnsi="Helvetica Light" w:cs="Helvetica Light"/>
          <w:sz w:val="24"/>
          <w:sz-cs w:val="24"/>
        </w:rPr>
        <w:t xml:space="preserve">* Equities</w:t>
      </w:r>
    </w:p>
    <w:p>
      <w:pPr/>
      <w:r>
        <w:rPr>
          <w:rFonts w:ascii="Helvetica Light" w:hAnsi="Helvetica Light" w:cs="Helvetica Light"/>
          <w:sz w:val="24"/>
          <w:sz-cs w:val="24"/>
        </w:rPr>
        <w:t xml:space="preserve">* Alternatives</w:t>
      </w:r>
    </w:p>
    <w:p>
      <w:pPr/>
      <w:r>
        <w:rPr>
          <w:rFonts w:ascii="Helvetica Light" w:hAnsi="Helvetica Light" w:cs="Helvetica Light"/>
          <w:sz w:val="24"/>
          <w:sz-cs w:val="24"/>
        </w:rPr>
        <w:t xml:space="preserve">* Commodities</w:t>
      </w:r>
    </w:p>
    <w:p>
      <w:pPr/>
      <w:r>
        <w:rPr>
          <w:rFonts w:ascii="Helvetica Light" w:hAnsi="Helvetica Light" w:cs="Helvetica Light"/>
          <w:sz w:val="24"/>
          <w:sz-cs w:val="24"/>
        </w:rPr>
        <w:t xml:space="preserve">* Cash &amp; Cash Equivalents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(Sweden, Norway, Denmark, Finland, and Iceland)</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South-East Asia (Singapore, Indonesia, Malaysia, Thailand,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family offices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family offices market size is USD 21.47 billion in 2026 and is projected to reach USD 29.65 billion by 2031 at a 6.67%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leading and growing fastest in family offices?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holds the largest share at 47.67% in 2025, while the Middle East and Africa post the fastest growth with an 8.17% CAGR projected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asset allocations changing within family offices?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Alternatives hold the largest allocation at 45.49% in 2025 and are projected to grow at a 7.34% CAGR, with private equity and private credit driving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structural model is gaining traction among UHNW families?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Multi-Family Offices are gaining with a 7.96% CAGR through 2031 as families below standalone thresholds seek scale benefits and co-invest access.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regulatory themes are most important for family offices through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CRS 2.0 and CARF expand reporting to crypto-assets and beneficial ownership, and enforcement intensity is rising, which increases compliance workloads.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talent and technology shaping operations for family offices?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Compensation for senior roles remains competitive, and cybersecurity remains top-of-mind, while data consolidation and institutional reporting standards are now core differentiators.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