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Fencing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[https://www.mordorintelligence.com/industry-reports/global-fencing-market](https://www.mordorintelligence.com/industry-reports/global-fencing-market)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40.71 billion |</w:t>
      </w:r>
    </w:p>
    <w:p>
      <w:pPr/>
      <w:r>
        <w:rPr>
          <w:rFonts w:ascii="Helvetica Light" w:hAnsi="Helvetica Light" w:cs="Helvetica Light"/>
          <w:sz w:val="24"/>
          <w:sz-cs w:val="24"/>
        </w:rPr>
        <w:t xml:space="preserve">| **Projected Forecast (2031)** | USD 40.71 billion |</w:t>
      </w:r>
    </w:p>
    <w:p>
      <w:pPr/>
      <w:r>
        <w:rPr>
          <w:rFonts w:ascii="Helvetica Light" w:hAnsi="Helvetica Light" w:cs="Helvetica Light"/>
          <w:sz w:val="24"/>
          <w:sz-cs w:val="24"/>
        </w:rPr>
        <w:t xml:space="preserve">| **Growth Rate (CAGR)** | 6.19 %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Fencing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Share by Installation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40.71 Billion | </w:t>
      </w:r>
    </w:p>
    <w:p>
      <w:pPr/>
      <w:r>
        <w:rPr>
          <w:rFonts w:ascii="Helvetica Light" w:hAnsi="Helvetica Light" w:cs="Helvetica Light"/>
          <w:sz w:val="24"/>
          <w:sz-cs w:val="24"/>
        </w:rPr>
        <w:t xml:space="preserve">Market Size (2031) | USD 54.98 Billion | </w:t>
      </w:r>
    </w:p>
    <w:p>
      <w:pPr/>
      <w:r>
        <w:rPr>
          <w:rFonts w:ascii="Helvetica Light" w:hAnsi="Helvetica Light" w:cs="Helvetica Light"/>
          <w:sz w:val="24"/>
          <w:sz-cs w:val="24"/>
        </w:rPr>
        <w:t xml:space="preserve">Growth Rate (2026 - 2031) | 6.19 %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Analysis by Mordor IntelligenceThe Fencing Market size is expected to increase from USD 38.34 billion in 2025 to USD 40.71 billion in 2026 and reach USD 54.98 billion by 2031, growing at a CAGR of 6.19%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perimeter-security standards across homes, businesses, and critical infrastructure, together with steady residential construction and remodeling, keep the demand curve moving upward. Material substitution toward vinyl, aluminum, and composite panels is trimming lifetime maintenance costs for property owners, while modular product design is shortening installation time for contractors. Government spending on transport, power, and public facilities in Asia-Pacific and the Middle East is adding long linear runs of specification-grade barrier systems. At the same time, elevated metal and resin prices and a tight global trades workforce are pushing the market toward do-it-yourself (DIY) kits and factory-finished components that minimize on-site labor.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metal fencing held 47.2% of global revenue in 2025, while plastic and composite products are forecast to grow at a 6.81% CAGR through 2031. </w:t>
      </w:r>
    </w:p>
    <w:p>
      <w:pPr/>
      <w:r>
        <w:rPr>
          <w:rFonts w:ascii="Helvetica Light" w:hAnsi="Helvetica Light" w:cs="Helvetica Light"/>
          <w:sz w:val="24"/>
          <w:sz-cs w:val="24"/>
        </w:rPr>
        <w:t xml:space="preserve">* By end-user, residential applications captured 45.1% of 2025 demand in the global fence market, and the agricultural segment is projected to advance at a 7.16% CAGR over 2026-2031. </w:t>
      </w:r>
    </w:p>
    <w:p>
      <w:pPr/>
      <w:r>
        <w:rPr>
          <w:rFonts w:ascii="Helvetica Light" w:hAnsi="Helvetica Light" w:cs="Helvetica Light"/>
          <w:sz w:val="24"/>
          <w:sz-cs w:val="24"/>
        </w:rPr>
        <w:t xml:space="preserve">* By installation type, contractor-installed projects commanded 64.2% of sales in 2025, whereas DIY and modular kits are expected to rise at a 6.47% CAGR during 2026-2031. </w:t>
      </w:r>
    </w:p>
    <w:p>
      <w:pPr/>
      <w:r>
        <w:rPr>
          <w:rFonts w:ascii="Helvetica Light" w:hAnsi="Helvetica Light" w:cs="Helvetica Light"/>
          <w:sz w:val="24"/>
          <w:sz-cs w:val="24"/>
        </w:rPr>
        <w:t xml:space="preserve">* By geography, Asia-Pacific led with a 33.8% fencing market share of 2025 revenue and is anticipated to expand at a 6.92%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Fencing Market*Drivers | (~) % IMPACT ON CAGR FORECAST | Geographic Relevance | Impact Timeline | </w:t>
      </w:r>
    </w:p>
    <w:p>
      <w:pPr/>
      <w:r>
        <w:rPr>
          <w:rFonts w:ascii="Helvetica Light" w:hAnsi="Helvetica Light" w:cs="Helvetica Light"/>
          <w:sz w:val="24"/>
          <w:sz-cs w:val="24"/>
        </w:rPr>
        <w:t xml:space="preserve">Preference for durable and low-maintenance materials | +1.2% | North America, Europe, Asia-Pacific | Medium term (2–4 years) | </w:t>
      </w:r>
    </w:p>
    <w:p>
      <w:pPr/>
      <w:r>
        <w:rPr>
          <w:rFonts w:ascii="Helvetica Light" w:hAnsi="Helvetica Light" w:cs="Helvetica Light"/>
          <w:sz w:val="24"/>
          <w:sz-cs w:val="24"/>
        </w:rPr>
        <w:t xml:space="preserve">Growth in residential construction and remodeling | +1.1% | North America, Asia-Pacific, Europe | Short term (≤ 2 years) | </w:t>
      </w:r>
    </w:p>
    <w:p>
      <w:pPr/>
      <w:r>
        <w:rPr>
          <w:rFonts w:ascii="Helvetica Light" w:hAnsi="Helvetica Light" w:cs="Helvetica Light"/>
          <w:sz w:val="24"/>
          <w:sz-cs w:val="24"/>
        </w:rPr>
        <w:t xml:space="preserve">Rising perimeter-security needs | +0.9% | Global | Short term (≤ 2 years) | </w:t>
      </w:r>
    </w:p>
    <w:p>
      <w:pPr/>
      <w:r>
        <w:rPr>
          <w:rFonts w:ascii="Helvetica Light" w:hAnsi="Helvetica Light" w:cs="Helvetica Light"/>
          <w:sz w:val="24"/>
          <w:sz-cs w:val="24"/>
        </w:rPr>
        <w:t xml:space="preserve">Expansion of agricultural land protection | +0.8% | Americas, Asia-Pacific | Medium term (2–4 years) | </w:t>
      </w:r>
    </w:p>
    <w:p>
      <w:pPr/>
      <w:r>
        <w:rPr>
          <w:rFonts w:ascii="Helvetica Light" w:hAnsi="Helvetica Light" w:cs="Helvetica Light"/>
          <w:sz w:val="24"/>
          <w:sz-cs w:val="24"/>
        </w:rPr>
        <w:t xml:space="preserve">Infrastructure and public-facility development | +0.7% | Asia-Pacific, Middle East,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Market power is consolidating, yet still far from a monopoly. Oldcastle APG fused eight legacy labels into Catalyst Fence Solutions in January 2025, instantly scaling manufacturing in vinyl, molded-composite, aluminum, and steel lines across North America. With unified warranties and centralized customer care, the company is leveraging combined purchasing to blunt raw-material inflation and negotiate national retailer shelf space. Rival Beta fence, anchored in Belgium, courts critical-infrastructure clients with anti-ram mesh and integrated sensor grids, while its 2014 Secure USA buy-in gave it rapid entry to the U.S. vehicle-barrier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innovation is moving fast. Gregory Industries inaugurated a 90,000-square-foot, highly automated G-STRUT mill in Alabama in July 2025, trimming lead times for galvanized channels that double as fence posts and solar-array supports. Trex Company has extended its composite-decking fame to perimeter panels, marketing color-matched railing and picket kits that bundle with its core outdoor-living catalog. Smaller regional fabricators survive on custom scrollwork, rapid turnarounds, and permit-navigation services that the giants struggle to replicate across thousands of municipalities.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another front. Cloud-based configurators now calculate post spacing, gate swing clearances, and bill of materials in minutes, cutting design costs for pros and reducing errors for homeowners. Sensor manufacturers are embedding fiber optics into welded mesh, allowing real-time breach detection that links to site security dashboards. While smart-fence uptake remains under 5% of global footage, pilot installations at data centers and airports show premium pricing potential and recurring revenue via monitoring subscriptions, a field the industry’s largest players aim to cultivate.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Fencing Industry Leaders* CertainTeed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PLY Gem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Bekaert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BetaFence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Ameristar Perimeter Security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Fencing Market Report ScopeBy MaterialMetal | Steel | </w:t>
      </w:r>
    </w:p>
    <w:p>
      <w:pPr/>
      <w:r>
        <w:rPr>
          <w:rFonts w:ascii="Helvetica Light" w:hAnsi="Helvetica Light" w:cs="Helvetica Light"/>
          <w:sz w:val="24"/>
          <w:sz-cs w:val="24"/>
        </w:rPr>
        <w:t xml:space="preserve"> | Aluminium | </w:t>
      </w:r>
    </w:p>
    <w:p>
      <w:pPr/>
      <w:r>
        <w:rPr>
          <w:rFonts w:ascii="Helvetica Light" w:hAnsi="Helvetica Light" w:cs="Helvetica Light"/>
          <w:sz w:val="24"/>
          <w:sz-cs w:val="24"/>
        </w:rPr>
        <w:t xml:space="preserve">Wood | </w:t>
      </w:r>
    </w:p>
    <w:p>
      <w:pPr/>
      <w:r>
        <w:rPr>
          <w:rFonts w:ascii="Helvetica Light" w:hAnsi="Helvetica Light" w:cs="Helvetica Light"/>
          <w:sz w:val="24"/>
          <w:sz-cs w:val="24"/>
        </w:rPr>
        <w:t xml:space="preserve">Plastic &amp; Composite | </w:t>
      </w:r>
    </w:p>
    <w:p>
      <w:pPr/>
      <w:r>
        <w:rPr>
          <w:rFonts w:ascii="Helvetica Light" w:hAnsi="Helvetica Light" w:cs="Helvetica Light"/>
          <w:sz w:val="24"/>
          <w:sz-cs w:val="24"/>
        </w:rPr>
        <w:t xml:space="preserve">Concrete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projected for the fencing market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grow at a 6.19% CAGR over the 2026-2031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class is expected to post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Plastic and composite systems are projected to register a 6.81%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was the residential slice of global 2025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projects generated 45.1% of worldwide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DIY kits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Labor shortages and higher installer wages are steering price-sensitive buyers toward modular, homeowner-friendly kits that reduce on-site hours.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add the most incremental demand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led by China and India, is expected to remain the fastest-expanding region with a 6.92% forecast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key risk could slow near-term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Volatile steel, aluminum, and resin prices can squeeze margins and raise end-user costs, potentially delaying new projects.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