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Football Clubs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Sporting Goods &amp; Apparel Retail (Retail)  </w:t>
      </w:r>
    </w:p>
    <w:p>
      <w:pPr/>
      <w:r>
        <w:rPr>
          <w:rFonts w:ascii="Helvetica Light" w:hAnsi="Helvetica Light" w:cs="Helvetica Light"/>
          <w:sz w:val="24"/>
          <w:sz-cs w:val="24"/>
        </w:rPr>
        <w:t xml:space="preserve">&gt; **Source:** [https://www.mordorintelligence.com/industry-reports/global-football-clubs-market](https://www.mordorintelligence.com/industry-reports/global-football-clubs-market)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14.23 billion |</w:t>
      </w:r>
    </w:p>
    <w:p>
      <w:pPr/>
      <w:r>
        <w:rPr>
          <w:rFonts w:ascii="Helvetica Light" w:hAnsi="Helvetica Light" w:cs="Helvetica Light"/>
          <w:sz w:val="24"/>
          <w:sz-cs w:val="24"/>
        </w:rPr>
        <w:t xml:space="preserve">| **Projected Forecast (2031)** | USD 14.23 billion |</w:t>
      </w:r>
    </w:p>
    <w:p>
      <w:pPr/>
      <w:r>
        <w:rPr>
          <w:rFonts w:ascii="Helvetica Light" w:hAnsi="Helvetica Light" w:cs="Helvetica Light"/>
          <w:sz w:val="24"/>
          <w:sz-cs w:val="24"/>
        </w:rPr>
        <w:t xml:space="preserve">| **Growth Rate (CAGR)** | 7.61 %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Football Clubs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![Football Clubs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![Football Clubs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![Football Clubs Market: Market Share by Ownership Structure](images/chart_5.png)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![Football Clubs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![Football Clubs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Historical Data Period | 2020 - 2024 | </w:t>
      </w:r>
    </w:p>
    <w:p>
      <w:pPr/>
      <w:r>
        <w:rPr>
          <w:rFonts w:ascii="Helvetica Light" w:hAnsi="Helvetica Light" w:cs="Helvetica Light"/>
          <w:sz w:val="24"/>
          <w:sz-cs w:val="24"/>
        </w:rPr>
        <w:t xml:space="preserve">Market Size (2026) | USD 14.23 Billion | </w:t>
      </w:r>
    </w:p>
    <w:p>
      <w:pPr/>
      <w:r>
        <w:rPr>
          <w:rFonts w:ascii="Helvetica Light" w:hAnsi="Helvetica Light" w:cs="Helvetica Light"/>
          <w:sz w:val="24"/>
          <w:sz-cs w:val="24"/>
        </w:rPr>
        <w:t xml:space="preserve">Market Size (2031) | USD 20.52 Billion | </w:t>
      </w:r>
    </w:p>
    <w:p>
      <w:pPr/>
      <w:r>
        <w:rPr>
          <w:rFonts w:ascii="Helvetica Light" w:hAnsi="Helvetica Light" w:cs="Helvetica Light"/>
          <w:sz w:val="24"/>
          <w:sz-cs w:val="24"/>
        </w:rPr>
        <w:t xml:space="preserve">Growth Rate (2026 - 2031) | 7.61 %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Football Clubs Market Analysis by Mordor IntelligenceThe football clubs market size is expected to grow from USD 13.22 billion in 2025 to USD 14.23 billion in 2026 and is forecast to reach USD 20.52 billion by 2031 at 7.61% CAGR over 2026-2031. The football clubs market continues to expand steadily, driven by sustained growth in broadcast revenues, premium hospitality offerings, and increasingly sophisticated digital fan engagement strategies. Revenue models are evolving beyond traditional matchday income and sponsorship cycles, as clubs invest in direct-to-consumer streaming platforms and explore emerging digital channels to build more stable, diversified income streams. Leading European leagues and top-tier clubs are generating stronger commercial returns, reflecting a broader shift toward higher monetization efficiency at the elite level of the sport. At the same time, stricter financial governance under UEFA’s Financial Sustainability Regulations is encouraging clubs to maintain wage discipline and align squad costs more closely with revenue performance. In this environment, clubs that successfully diversify their commercial portfolios while maintaining operational efficiency are likely to secure a sustained competitive advantage within the global football clubs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television relay revenue led with 44.12% of football clubs' market share in 2025, whereas other business receipts anchored by digital assets are projected to grow at a 16.12% CAGR through 2031.</w:t>
      </w:r>
    </w:p>
    <w:p>
      <w:pPr/>
      <w:r>
        <w:rPr>
          <w:rFonts w:ascii="Helvetica Light" w:hAnsi="Helvetica Light" w:cs="Helvetica Light"/>
          <w:sz w:val="24"/>
          <w:sz-cs w:val="24"/>
        </w:rPr>
        <w:t xml:space="preserve">* By application, the Premier League captured 21.34% of the football clubs market size in 2025, yet clubs outside the Big Five leagues are expanding at a 7.68% CAGR to 2031.</w:t>
      </w:r>
    </w:p>
    <w:p>
      <w:pPr/>
      <w:r>
        <w:rPr>
          <w:rFonts w:ascii="Helvetica Light" w:hAnsi="Helvetica Light" w:cs="Helvetica Light"/>
          <w:sz w:val="24"/>
          <w:sz-cs w:val="24"/>
        </w:rPr>
        <w:t xml:space="preserve">* By ownership structure, private entities accounted for a 56.88% share of the football clubs market size in 2025, while publicly listed clubs are advancing at an 8.17% CAGR through 2031.</w:t>
      </w:r>
    </w:p>
    <w:p>
      <w:pPr/>
      <w:r>
        <w:rPr>
          <w:rFonts w:ascii="Helvetica Light" w:hAnsi="Helvetica Light" w:cs="Helvetica Light"/>
          <w:sz w:val="24"/>
          <w:sz-cs w:val="24"/>
        </w:rPr>
        <w:t xml:space="preserve">* By geography, Europe dominated with a 52.12% share of the football clubs market size in 2025; Asia-Pacific is forecast to register the fastest 8.61% CAGR over the outlook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Football Clubs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Rapidly Rising Global Broadcast Rights Costs | +1.8% | Global, led by Premier League and LaLiga, with plateauing in Serie A and Ligue 1 | Medium term (2-4 years) | </w:t>
      </w:r>
    </w:p>
    <w:p>
      <w:pPr/>
      <w:r>
        <w:rPr>
          <w:rFonts w:ascii="Helvetica Light" w:hAnsi="Helvetica Light" w:cs="Helvetica Light"/>
          <w:sz w:val="24"/>
          <w:sz-cs w:val="24"/>
        </w:rPr>
        <w:t xml:space="preserve">Club-Owned D2C Streaming Platforms Gain Traction | +0.9% | APAC core, spill-over to MEA; early traction in France | Short term (≤ 2 years) | </w:t>
      </w:r>
    </w:p>
    <w:p>
      <w:pPr/>
      <w:r>
        <w:rPr>
          <w:rFonts w:ascii="Helvetica Light" w:hAnsi="Helvetica Light" w:cs="Helvetica Light"/>
          <w:sz w:val="24"/>
          <w:sz-cs w:val="24"/>
        </w:rPr>
        <w:t xml:space="preserve">Growth of Women’s Football Viewership &amp; Sponsorship | +0.7% | Europe and North America, with APAC expansion | Medium term (2-4 years) | </w:t>
      </w:r>
    </w:p>
    <w:p>
      <w:pPr/>
      <w:r>
        <w:rPr>
          <w:rFonts w:ascii="Helvetica Light" w:hAnsi="Helvetica Light" w:cs="Helvetica Light"/>
          <w:sz w:val="24"/>
          <w:sz-cs w:val="24"/>
        </w:rPr>
        <w:t xml:space="preserve">Dynamic Ticket-Pricing &amp; Premium Hospitality Innovation | +1.3% | Europe and North America | Short term (≤ 2 years) | </w:t>
      </w:r>
    </w:p>
    <w:p>
      <w:pPr/>
      <w:r>
        <w:rPr>
          <w:rFonts w:ascii="Helvetica Light" w:hAnsi="Helvetica Light" w:cs="Helvetica Light"/>
          <w:sz w:val="24"/>
          <w:sz-cs w:val="24"/>
        </w:rPr>
        <w:t xml:space="preserve">Multi-Club Ownership Groups Pooling Commercial Assets | +1.1% | Global, with high United States investor participation | Medium term (2-4 years) | </w:t>
      </w:r>
    </w:p>
    <w:p>
      <w:pPr/>
      <w:r>
        <w:rPr>
          <w:rFonts w:ascii="Helvetica Light" w:hAnsi="Helvetica Light" w:cs="Helvetica Light"/>
          <w:sz w:val="24"/>
          <w:sz-cs w:val="24"/>
        </w:rPr>
        <w:t xml:space="preserve">Rise of Fan-Token &amp; Web3 Revenue Channels | +0.6% | Global, with Europe regulatory progress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football clubs market remains globally fragmented, with concentration occurring mainly at the league level and among top-revenue clubs. While elite clubs capture the majority of broadcast and sponsorship flows, many professional organizations operate with more limited access to these resources. Multi-club ownership is reshaping strategies by creating synergies in sponsorship, data, and talent management, while consolidating commercial negotiating power. Lessons from Germany show that disciplined cost management and fan-focused operations can sustain positive financial performance across a league. In contrast, some markets reveal the ongoing need for capital allocation and governance reforms to better align costs and revenues.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priorities for clubs continue to focus on premium infrastructure, diversified commercial partnerships, and international expansion. Leading clubs are demonstrating how investment in modern stadiums and venue redevelopment can significantly enhance matchday and non-matchday revenue. Venue transformations, including multi-purpose event hosting, help smooth seasonal fluctuations and reduce dependence on team performance. Clubs that strengthen direct-to-consumer channels and premium fan experiences are building more defensible and predictable cash flows. These approaches also support compliance with evolving financial regulations while reinforcing long-term commercial sustainability.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market is increasingly defined by multi-revenue performance rather than purely sporting outcomes. Stable broadcast arrangements and strong matchday operations provide planning certainty for clubs, while direct fan engagement strategies empower leagues to own the consumer relationship. Regulatory oversight and antitrust actions, though introducing execution risk, improve transparency and tender processes. Investment from international stakeholders brings operational expertise and analytics capabilities that can benefit clubs across different leagues. Overall, governance, venue strategy, and digital monetization are becoming critical factors in determining outperformance in the football clubs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Football Clubs Industry Leaders* Real Madrid CF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Manchester City FC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Paris Saint-Germain FC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FC Barcelona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Manchester United FC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Football Clubs Market Report ScopeIn association football, a football club is a sports club that acts as an entity through which association football teams organize their sporting activities. The club can exist either as an independent unit or as part of a larger sports organization as a subsidiary of the parent club or organization.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football clubs market is segmented by type (ticket and corporate hospitality sales, television relay revenue share, sponsorship, and other business receipts), by application (the Premier League, La Liga, Serie A, Bundesliga, Ligue 1, other clubs (out of the five leagues), and by geography (North America, Europe, Asia-Pacific, Latin America,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market size and forecasts for the global football clubs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TypeTicket and Corporate Hospitality Sales | </w:t>
      </w:r>
    </w:p>
    <w:p>
      <w:pPr/>
      <w:r>
        <w:rPr>
          <w:rFonts w:ascii="Helvetica Light" w:hAnsi="Helvetica Light" w:cs="Helvetica Light"/>
          <w:sz w:val="24"/>
          <w:sz-cs w:val="24"/>
        </w:rPr>
        <w:t xml:space="preserve">Television Relay Revenue Share | </w:t>
      </w:r>
    </w:p>
    <w:p>
      <w:pPr/>
      <w:r>
        <w:rPr>
          <w:rFonts w:ascii="Helvetica Light" w:hAnsi="Helvetica Light" w:cs="Helvetica Light"/>
          <w:sz w:val="24"/>
          <w:sz-cs w:val="24"/>
        </w:rPr>
        <w:t xml:space="preserve">Sponsorship | </w:t>
      </w:r>
    </w:p>
    <w:p>
      <w:pPr/>
      <w:r>
        <w:rPr>
          <w:rFonts w:ascii="Helvetica Light" w:hAnsi="Helvetica Light" w:cs="Helvetica Light"/>
          <w:sz w:val="24"/>
          <w:sz-cs w:val="24"/>
        </w:rPr>
        <w:t xml:space="preserve">Other Business Receipts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football clubs market size and growth outlook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football clubs market is expected to grow from USD 13.22 billion in 2025 to USD 14.23 billion in 2026 and is forecast to reach USD 20.52 billion by 2031 at 7.61%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revenue categories are growing fastest across clubs?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Other business receipts, including digital content, stadium tours, and fan-token initiatives, are projected to grow at a 16.12% CAGR through 2031, outpacing traditional media and matchday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competition segment holds the largest share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Premier League led application share at 21.34% in 2025 due to premium domestic rights, strong international deals, and robust sponsorship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expanding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advancing at an 8.61% CAGR through 2031 as investment, marquee signings, and broadcaster demand increase, while Europe remains the largest region by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shaping club strategies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UEFA's Financial Sustainability Regulations enforce a 70% squad cost-to-revenue ratio from 2025/26, which prioritizes wage discipline and pushes clubs toward recurring commercial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strategies help clubs offset mature broadcast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Clubs are scaling D2C streaming, dynamic pricing, PSLs, and non-matchday events, while modern stadiums and portfolio sponsorships drive steadier revenue and higher margins.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