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Hedge Fund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Wealth, Asset Management &amp; Private Equity (Financial Services &amp; Investment Intelligence)  </w:t>
      </w:r>
    </w:p>
    <w:p>
      <w:pPr/>
      <w:r>
        <w:rPr>
          <w:rFonts w:ascii="Helvetica Light" w:hAnsi="Helvetica Light" w:cs="Helvetica Light"/>
          <w:sz w:val="24"/>
          <w:sz-cs w:val="24"/>
        </w:rPr>
        <w:t xml:space="preserve">&gt; **Source:** [https://www.mordorintelligence.com/industry-reports/global-hedge-fund-industry](https://www.mordorintelligence.com/industry-reports/global-hedge-fund-industry)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5.71 trillion |</w:t>
      </w:r>
    </w:p>
    <w:p>
      <w:pPr/>
      <w:r>
        <w:rPr>
          <w:rFonts w:ascii="Helvetica Light" w:hAnsi="Helvetica Light" w:cs="Helvetica Light"/>
          <w:sz w:val="24"/>
          <w:sz-cs w:val="24"/>
        </w:rPr>
        <w:t xml:space="preserve">| **Projected Forecast (2031)** | USD 5.71 trillion |</w:t>
      </w:r>
    </w:p>
    <w:p>
      <w:pPr/>
      <w:r>
        <w:rPr>
          <w:rFonts w:ascii="Helvetica Light" w:hAnsi="Helvetica Light" w:cs="Helvetica Light"/>
          <w:sz w:val="24"/>
          <w:sz-cs w:val="24"/>
        </w:rPr>
        <w:t xml:space="preserve">| **Growth Rate (CAGR)** | 9.12 %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Hedge Fund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![Hedge Fund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![Hedge Fund Market Share by Strategy,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![Hedge Fund Market Share by Fund Structure,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![Hedge Fund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![Hedge Fund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5.71 Trillion | </w:t>
      </w:r>
    </w:p>
    <w:p>
      <w:pPr/>
      <w:r>
        <w:rPr>
          <w:rFonts w:ascii="Helvetica Light" w:hAnsi="Helvetica Light" w:cs="Helvetica Light"/>
          <w:sz w:val="24"/>
          <w:sz-cs w:val="24"/>
        </w:rPr>
        <w:t xml:space="preserve">Market Size (2031) | USD 8.83 Trillion | </w:t>
      </w:r>
    </w:p>
    <w:p>
      <w:pPr/>
      <w:r>
        <w:rPr>
          <w:rFonts w:ascii="Helvetica Light" w:hAnsi="Helvetica Light" w:cs="Helvetica Light"/>
          <w:sz w:val="24"/>
          <w:sz-cs w:val="24"/>
        </w:rPr>
        <w:t xml:space="preserve">Growth Rate (2026 - 2031) | 9.12 %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Hedge Fund Market Analysis by Mordor IntelligenceThe hedge fund market size stands at USD 5.71 trillion in assets under management in 2026 and is projected to reach USD 8.83 trillion by 2031 at a 9.12% CAGR. Multi-strategy platforms hold the largest position with a 27.26% share in 2025, while quantitative and systematic strategies are set to grow the fastest at an 11.63% CAGR through 2031, which signals a split between scale-driven platforms and data-led alpha engines that reshape competitive positioning in the hedge fund market. The growth in this market is driven by institutional shifts away from stressed 60/40 portfolios, a high-interest-rate environment enhancing cash-collateral yields, and the increasing adoption of artificial intelligence in research and trading operations. Multi-strategy platforms are gaining market share due to their focus on streamlining talent acquisition, implementing robust risk controls, and enhancing data infrastructure. Meanwhile, demands for fee transparency and tighter prime-broker margins are creating challenges for smaller managers. Additionally, tokenization and digital distribution channels are expanding access to alternative investments, with blockchain-based fund wrappers expected to significantly contribute to new asset inflows by the end of the decade.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strategy, multi-strategy led with 27.26% of the hedge fund market share in 2025, while quantitative and systematic strategies are projected to expand at an 11.63% CAGR through 2031.</w:t>
      </w:r>
    </w:p>
    <w:p>
      <w:pPr/>
      <w:r>
        <w:rPr>
          <w:rFonts w:ascii="Helvetica Light" w:hAnsi="Helvetica Light" w:cs="Helvetica Light"/>
          <w:sz w:val="24"/>
          <w:sz-cs w:val="24"/>
        </w:rPr>
        <w:t xml:space="preserve">* By investor type, institutional investors controlled 65.92% of the hedge fund market share in 2025, while retail channels are projected to grow at a 13.07% CAGR through 2031.</w:t>
      </w:r>
    </w:p>
    <w:p>
      <w:pPr/>
      <w:r>
        <w:rPr>
          <w:rFonts w:ascii="Helvetica Light" w:hAnsi="Helvetica Light" w:cs="Helvetica Light"/>
          <w:sz w:val="24"/>
          <w:sz-cs w:val="24"/>
        </w:rPr>
        <w:t xml:space="preserve">* By fund structure, offshore vehicles held 53.26% of the hedge fund market share in 2025, while hybrid structures are projected to grow at an 11.26% CAGR through 2031.</w:t>
      </w:r>
    </w:p>
    <w:p>
      <w:pPr/>
      <w:r>
        <w:rPr>
          <w:rFonts w:ascii="Helvetica Light" w:hAnsi="Helvetica Light" w:cs="Helvetica Light"/>
          <w:sz w:val="24"/>
          <w:sz-cs w:val="24"/>
        </w:rPr>
        <w:t xml:space="preserve">* By distribution channel, direct institutional mandates represented 42.12% of the hedge fund market share in 2025, while digital marketplaces and tokenized funds are projected to grow at a 16.89% CAGR through 2031.</w:t>
      </w:r>
    </w:p>
    <w:p>
      <w:pPr/>
      <w:r>
        <w:rPr>
          <w:rFonts w:ascii="Helvetica Light" w:hAnsi="Helvetica Light" w:cs="Helvetica Light"/>
          <w:sz w:val="24"/>
          <w:sz-cs w:val="24"/>
        </w:rPr>
        <w:t xml:space="preserve">* By geography, North America accounted for 73.06% of the hedge fund market share in 2025, while Asia-Pacific is projected to grow at a 12.56%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Hedge Fund Market*Driver | (~) % Impact on CAGR Forecast | Geographic Relevance | Impact Timeline | </w:t>
      </w:r>
    </w:p>
    <w:p>
      <w:pPr/>
      <w:r>
        <w:rPr>
          <w:rFonts w:ascii="Helvetica Light" w:hAnsi="Helvetica Light" w:cs="Helvetica Light"/>
          <w:sz w:val="24"/>
          <w:sz-cs w:val="24"/>
        </w:rPr>
        <w:t xml:space="preserve">Institutional Reallocation Amid 60/40 Portfolio Strain | +2.3% | Global, concentrated in North America and Europe | Medium term (2-4 years) | </w:t>
      </w:r>
    </w:p>
    <w:p>
      <w:pPr/>
      <w:r>
        <w:rPr>
          <w:rFonts w:ascii="Helvetica Light" w:hAnsi="Helvetica Light" w:cs="Helvetica Light"/>
          <w:sz w:val="24"/>
          <w:sz-cs w:val="24"/>
        </w:rPr>
        <w:t xml:space="preserve">Rise of Alternative Data and Quant Strategies | +1.8% | Global, strongest in North America, Asia-Pacific tech hubs | Long term (≥ 4 years) | </w:t>
      </w:r>
    </w:p>
    <w:p>
      <w:pPr/>
      <w:r>
        <w:rPr>
          <w:rFonts w:ascii="Helvetica Light" w:hAnsi="Helvetica Light" w:cs="Helvetica Light"/>
          <w:sz w:val="24"/>
          <w:sz-cs w:val="24"/>
        </w:rPr>
        <w:t xml:space="preserve">Interest Rate Carry on Cash Collateral | +1.2% | Global, particularly strategies with short exposure | Short term (≤ 2 years) | </w:t>
      </w:r>
    </w:p>
    <w:p>
      <w:pPr/>
      <w:r>
        <w:rPr>
          <w:rFonts w:ascii="Helvetica Light" w:hAnsi="Helvetica Light" w:cs="Helvetica Light"/>
          <w:sz w:val="24"/>
          <w:sz-cs w:val="24"/>
        </w:rPr>
        <w:t xml:space="preserve">Regulatory Developments in China’s QDLP/QFLP Schemes | +0.7% | APAC core, spillover to global allocators seeking China exposure | Medium term (2-4 years) | </w:t>
      </w:r>
    </w:p>
    <w:p>
      <w:pPr/>
      <w:r>
        <w:rPr>
          <w:rFonts w:ascii="Helvetica Light" w:hAnsi="Helvetica Light" w:cs="Helvetica Light"/>
          <w:sz w:val="24"/>
          <w:sz-cs w:val="24"/>
        </w:rPr>
        <w:t xml:space="preserve">Tokenization and Digital Asset Hedge Fund Growth | +1.5% | North America and the Middle East have early adoption, while Europe is regulation-driven. | Long term (≥ 4 years) | </w:t>
      </w:r>
    </w:p>
    <w:p>
      <w:pPr/>
      <w:r>
        <w:rPr>
          <w:rFonts w:ascii="Helvetica Light" w:hAnsi="Helvetica Light" w:cs="Helvetica Light"/>
          <w:sz w:val="24"/>
          <w:sz-cs w:val="24"/>
        </w:rPr>
        <w:t xml:space="preserve">Expansion of Multi-Strategy Platforms | +1.6% | Global, dominated by North American mega‑platforms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Mega platforms tighten their grip on the hedge fund market as the top five players employ the majority of platform personnel, indicating high market concentration. Their operating models resemble internal marketplaces that auction capital to pods scoring high on risk-adjusted return forecasts. Citadel’s centralized technology stack executes more than 60 million trades daily across asset classes, while Millennium deploys AI monitors that pulse liquidity metrics to every team in real-time. Point72 commits dedicated R&amp;D spending to natural-language-processing pipelines that parse regulatory commentary minutes after release.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Scale advantages cascade into lower financing spreads negotiated with prime brokers. Goldman Sachs and Morgan Stanley extend balance-sheet capacity preferentially to high-volume clients, widening the cost gap versus mid-size funds. Data-vendor contracts increasingly feature enterprise-wide licensing unavailable to smaller peers. Consequently, sub-USD 1 billion managers face an uphill path unless they target capacity-constrained, specialist strategies such as catastrophe reinsurance or frontier-market credit.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investment underpins strategic differentiation. BlackRock integrates its Aladdin analytics into hedge-fund pods, merging public and private-market datasets. Meanwhile, Man Group collaborates with cloud providers to reduce model-training runtimes by 70%. Tokenization partnerships emerge: Partners Group links with BlackRock to embed private-market sleeves into model portfolios distributed through wealth channels. These moves demonstrate that the competitive frontier now spans both portfolio construction and digital product design within the hedge fund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Hedge Fund Industry Leaders* Man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Renaissance Technologies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Millennium Management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AQR Capital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 Shaw &amp;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report, the hedge fund market is measured as global hedge fund assets under management (AUM), covering actively managed pooled investment vehicles that use tools like long and short positions, leverage, and derivatives to pursue absolute returns.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proprietary trading desks, private equity and venture capital funds, and closed-ended listed funds where investor capital is not managed as open-ended hedge fund AUM.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Strategy* Long/Short Equity</w:t>
      </w:r>
    </w:p>
    <w:p>
      <w:pPr/>
      <w:r>
        <w:rPr>
          <w:rFonts w:ascii="Helvetica Light" w:hAnsi="Helvetica Light" w:cs="Helvetica Light"/>
          <w:sz w:val="24"/>
          <w:sz-cs w:val="24"/>
        </w:rPr>
        <w:t xml:space="preserve">* Event-Driven</w:t>
      </w:r>
    </w:p>
    <w:p>
      <w:pPr/>
      <w:r>
        <w:rPr>
          <w:rFonts w:ascii="Helvetica Light" w:hAnsi="Helvetica Light" w:cs="Helvetica Light"/>
          <w:sz w:val="24"/>
          <w:sz-cs w:val="24"/>
        </w:rPr>
        <w:t xml:space="preserve">* Global Macro</w:t>
      </w:r>
    </w:p>
    <w:p>
      <w:pPr/>
      <w:r>
        <w:rPr>
          <w:rFonts w:ascii="Helvetica Light" w:hAnsi="Helvetica Light" w:cs="Helvetica Light"/>
          <w:sz w:val="24"/>
          <w:sz-cs w:val="24"/>
        </w:rPr>
        <w:t xml:space="preserve">* Relative Value</w:t>
      </w:r>
    </w:p>
    <w:p>
      <w:pPr/>
      <w:r>
        <w:rPr>
          <w:rFonts w:ascii="Helvetica Light" w:hAnsi="Helvetica Light" w:cs="Helvetica Light"/>
          <w:sz w:val="24"/>
          <w:sz-cs w:val="24"/>
        </w:rPr>
        <w:t xml:space="preserve">* Multi-Strategy</w:t>
      </w:r>
    </w:p>
    <w:p>
      <w:pPr/>
      <w:r>
        <w:rPr>
          <w:rFonts w:ascii="Helvetica Light" w:hAnsi="Helvetica Light" w:cs="Helvetica Light"/>
          <w:sz w:val="24"/>
          <w:sz-cs w:val="24"/>
        </w:rPr>
        <w:t xml:space="preserve">* Quantitative / Systematic</w:t>
      </w:r>
    </w:p>
    <w:p>
      <w:pPr/>
      <w:r>
        <w:rPr>
          <w:rFonts w:ascii="Helvetica Light" w:hAnsi="Helvetica Light" w:cs="Helvetica Light"/>
          <w:sz w:val="24"/>
          <w:sz-cs w:val="24"/>
        </w:rPr>
        <w:t xml:space="preserve">* Fund of Funds</w:t>
      </w:r>
    </w:p>
    <w:p>
      <w:pPr/>
      <w:r>
        <w:rPr>
          <w:rFonts w:ascii="Helvetica Light" w:hAnsi="Helvetica Light" w:cs="Helvetica Light"/>
          <w:sz w:val="24"/>
          <w:sz-cs w:val="24"/>
        </w:rPr>
        <w:t xml:space="preserve">* Other (e.g., Managed Futures, Credit, Emerging Markets, Volatility Arbitrage, Crypto/Digital Assets,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Investor Type* Institutional Investors (Pension Funds, SWFs, Insurers, etc.)</w:t>
      </w:r>
    </w:p>
    <w:p>
      <w:pPr/>
      <w:r>
        <w:rPr>
          <w:rFonts w:ascii="Helvetica Light" w:hAnsi="Helvetica Light" w:cs="Helvetica Light"/>
          <w:sz w:val="24"/>
          <w:sz-cs w:val="24"/>
        </w:rPr>
        <w:t xml:space="preserve">* High-Net-Worth &amp; Family Offices</w:t>
      </w:r>
    </w:p>
    <w:p>
      <w:pPr/>
      <w:r>
        <w:rPr>
          <w:rFonts w:ascii="Helvetica Light" w:hAnsi="Helvetica Light" w:cs="Helvetica Light"/>
          <w:sz w:val="24"/>
          <w:sz-cs w:val="24"/>
        </w:rPr>
        <w:t xml:space="preserve">*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Fund Structure* Onshore</w:t>
      </w:r>
    </w:p>
    <w:p>
      <w:pPr/>
      <w:r>
        <w:rPr>
          <w:rFonts w:ascii="Helvetica Light" w:hAnsi="Helvetica Light" w:cs="Helvetica Light"/>
          <w:sz w:val="24"/>
          <w:sz-cs w:val="24"/>
        </w:rPr>
        <w:t xml:space="preserve">* Offshore</w:t>
      </w:r>
    </w:p>
    <w:p>
      <w:pPr/>
      <w:r>
        <w:rPr>
          <w:rFonts w:ascii="Helvetica Light" w:hAnsi="Helvetica Light" w:cs="Helvetica Light"/>
          <w:sz w:val="24"/>
          <w:sz-cs w:val="24"/>
        </w:rPr>
        <w:t xml:space="preserve">* Hybrid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Direct Institutional Mandates</w:t>
      </w:r>
    </w:p>
    <w:p>
      <w:pPr/>
      <w:r>
        <w:rPr>
          <w:rFonts w:ascii="Helvetica Light" w:hAnsi="Helvetica Light" w:cs="Helvetica Light"/>
          <w:sz w:val="24"/>
          <w:sz-cs w:val="24"/>
        </w:rPr>
        <w:t xml:space="preserve">* Fund of Funds</w:t>
      </w:r>
    </w:p>
    <w:p>
      <w:pPr/>
      <w:r>
        <w:rPr>
          <w:rFonts w:ascii="Helvetica Light" w:hAnsi="Helvetica Light" w:cs="Helvetica Light"/>
          <w:sz w:val="24"/>
          <w:sz-cs w:val="24"/>
        </w:rPr>
        <w:t xml:space="preserve">* Wealth / Private-Bank Platforms</w:t>
      </w:r>
    </w:p>
    <w:p>
      <w:pPr/>
      <w:r>
        <w:rPr>
          <w:rFonts w:ascii="Helvetica Light" w:hAnsi="Helvetica Light" w:cs="Helvetica Light"/>
          <w:sz w:val="24"/>
          <w:sz-cs w:val="24"/>
        </w:rPr>
        <w:t xml:space="preserve">* Digital Marketplaces &amp; Tokenized Funds</w:t>
      </w:r>
    </w:p>
    <w:p>
      <w:pPr/>
      <w:r>
        <w:rPr>
          <w:rFonts w:ascii="Helvetica Light" w:hAnsi="Helvetica Light" w:cs="Helvetica Light"/>
          <w:sz w:val="24"/>
          <w:sz-cs w:val="24"/>
        </w:rPr>
        <w:t xml:space="preserve">* Others (e.g., Intermediaries, Exchange-Traded Products,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of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hedge fund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hedge fund market size is USD 5.71 trillion in 2026 and is projected to reach USD 8.83 trillion by 2031 at a 9.12% CAGR, reflecting steady institutional and retail channel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strategies are leading and which are growing the fastest in the hedge fund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Multi-strategy platforms lead with a 27.26% share in 2025, while quantitative and systematic strategies are the fastest growing with an 11.63% CAGR projected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distribution evolving in the hedge fund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institutional mandates hold 42.12% share, and tokenized or digital marketplaces are projected to grow at 16.89% as on-chain rails enable instant settlement, fractional ownership, and improved transparency.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dominate, and where is growth strongest in the hedge fund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accounts for 73.06% of assets, while Asia‑Pacific holds the strongest growth outlook at 12.56% CAGR through 2031 on rising allocations and evolving cross-border access.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regulations are shaping the hedge fund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SFDR 2.0 proposals in Europe require portfolio-level thresholds and exclusions by 2028, and AIFMD II takes effect in April 2026 with leverage, loan‑origination, and liquidity‑management requirements, which together influence product design and marketing.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tokenization and digital assets affecting the hedge fund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Surveys and launches show rising allocations to digital assets and growing interest in tokenized fund structures, with industry initiatives like DTCC's Canton Network project and J.P. Morgan AM's MONY fund demonstrating operational advantages.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