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Insurtech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[https://www.mordorintelligence.com/industry-reports/global-insurtech-market](https://www.mordorintelligence.com/industry-reports/global-insurtech-market)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1.34 trillion |</w:t>
      </w:r>
    </w:p>
    <w:p>
      <w:pPr/>
      <w:r>
        <w:rPr>
          <w:rFonts w:ascii="Helvetica Light" w:hAnsi="Helvetica Light" w:cs="Helvetica Light"/>
          <w:sz w:val="24"/>
          <w:sz-cs w:val="24"/>
        </w:rPr>
        <w:t xml:space="preserve">| **Projected Forecast (2031)** | USD 1.34 trillion |</w:t>
      </w:r>
    </w:p>
    <w:p>
      <w:pPr/>
      <w:r>
        <w:rPr>
          <w:rFonts w:ascii="Helvetica Light" w:hAnsi="Helvetica Light" w:cs="Helvetica Light"/>
          <w:sz w:val="24"/>
          <w:sz-cs w:val="24"/>
        </w:rPr>
        <w:t xml:space="preserve">| **Growth Rate (CAGR)** | 12.72 %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Insurtech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Market: Market Share by Product Line (Insurance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Market: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1.34 Trillion | </w:t>
      </w:r>
    </w:p>
    <w:p>
      <w:pPr/>
      <w:r>
        <w:rPr>
          <w:rFonts w:ascii="Helvetica Light" w:hAnsi="Helvetica Light" w:cs="Helvetica Light"/>
          <w:sz w:val="24"/>
          <w:sz-cs w:val="24"/>
        </w:rPr>
        <w:t xml:space="preserve">Market Size (2031) | USD 2.44 Trillion | </w:t>
      </w:r>
    </w:p>
    <w:p>
      <w:pPr/>
      <w:r>
        <w:rPr>
          <w:rFonts w:ascii="Helvetica Light" w:hAnsi="Helvetica Light" w:cs="Helvetica Light"/>
          <w:sz w:val="24"/>
          <w:sz-cs w:val="24"/>
        </w:rPr>
        <w:t xml:space="preserve">Growth Rate (2026 - 2031) | 12.72 %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Market Analysis by Mordor IntelligenceThe Insurtech Market size is expected to increase from USD 1.19 trillion in 2025 to USD 1.34 trillion in 2026 and reach USD 2.44 trillion by 2031, growing at a CAGR of 12.72%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sharp growth reflects a structural change in how insurers design, distribute, and service policies as digital-first experiences become table stakes. Cloud-native migrations, AI-enabled underwriting, and embedded insurance have shifted from pilot initiatives to enterprise standards, allowing carriers to cut operating costs, improve speed-to-market, and reach new customer segments. Government sandboxes in more than a dozen jurisdictions have accelerated solution rollouts, while strategic partnerships with mobility and IoT platforms are redefining risk assessment in auto and property lines. Competitive differentiation now rests on data access, platform agility, and the ability to embed coverage seamlessly into non-insurance purchase journeys, rather than on balance-sheet scale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line, Property &amp; Casualty led with 58.73% of the insurtech market share in 2025, while Specialty Lines are projected to post the fastest 18.63% CAGR through 2031.</w:t>
      </w:r>
    </w:p>
    <w:p>
      <w:pPr/>
      <w:r>
        <w:rPr>
          <w:rFonts w:ascii="Helvetica Light" w:hAnsi="Helvetica Light" w:cs="Helvetica Light"/>
          <w:sz w:val="24"/>
          <w:sz-cs w:val="24"/>
        </w:rPr>
        <w:t xml:space="preserve">* By distribution channel, Traditional Agents/Brokers held 40.62% revenue share of the insurtech market in 2025, whereas Embedded Insurance Platforms are advancing at a 16.78% CAGR to 2031.</w:t>
      </w:r>
    </w:p>
    <w:p>
      <w:pPr/>
      <w:r>
        <w:rPr>
          <w:rFonts w:ascii="Helvetica Light" w:hAnsi="Helvetica Light" w:cs="Helvetica Light"/>
          <w:sz w:val="24"/>
          <w:sz-cs w:val="24"/>
        </w:rPr>
        <w:t xml:space="preserve">* By end user, Retail/Individual policies accounted for 67.08% of the demand of the insurtech market in 2025; the SME/Commercial segment is forecast to grow at 15.18% CAGR to 2031.</w:t>
      </w:r>
    </w:p>
    <w:p>
      <w:pPr/>
      <w:r>
        <w:rPr>
          <w:rFonts w:ascii="Helvetica Light" w:hAnsi="Helvetica Light" w:cs="Helvetica Light"/>
          <w:sz w:val="24"/>
          <w:sz-cs w:val="24"/>
        </w:rPr>
        <w:t xml:space="preserve">* By geography, North America commanded 37.25% of the insurtech market in 2025, yet Asia-Pacific is poised for the highest 16.25%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Insurtech Market*Driver | (~) % Impact on CAGR Forecast | Geographic Relevance | Impact Timeline | </w:t>
      </w:r>
    </w:p>
    <w:p>
      <w:pPr/>
      <w:r>
        <w:rPr>
          <w:rFonts w:ascii="Helvetica Light" w:hAnsi="Helvetica Light" w:cs="Helvetica Light"/>
          <w:sz w:val="24"/>
          <w:sz-cs w:val="24"/>
        </w:rPr>
        <w:t xml:space="preserve">Rising adoption of AI &amp; ML for underwriting &amp; claims | 3.2% | Global, with North America and Europe leading | Medium term (2-4 years) | </w:t>
      </w:r>
    </w:p>
    <w:p>
      <w:pPr/>
      <w:r>
        <w:rPr>
          <w:rFonts w:ascii="Helvetica Light" w:hAnsi="Helvetica Light" w:cs="Helvetica Light"/>
          <w:sz w:val="24"/>
          <w:sz-cs w:val="24"/>
        </w:rPr>
        <w:t xml:space="preserve">Growing demand for personalized, on-demand insurance products | 2.8% | Global, particularly strong in APAC and North America | Short term (≤ 2 years) | </w:t>
      </w:r>
    </w:p>
    <w:p>
      <w:pPr/>
      <w:r>
        <w:rPr>
          <w:rFonts w:ascii="Helvetica Light" w:hAnsi="Helvetica Light" w:cs="Helvetica Light"/>
          <w:sz w:val="24"/>
          <w:sz-cs w:val="24"/>
        </w:rPr>
        <w:t xml:space="preserve">Increasing migration to cloud-native core systems | 2.1% | Global, with Europe and North America at the forefront | Medium term (2-4 years) | </w:t>
      </w:r>
    </w:p>
    <w:p>
      <w:pPr/>
      <w:r>
        <w:rPr>
          <w:rFonts w:ascii="Helvetica Light" w:hAnsi="Helvetica Light" w:cs="Helvetica Light"/>
          <w:sz w:val="24"/>
          <w:sz-cs w:val="24"/>
        </w:rPr>
        <w:t xml:space="preserve">Regulatory sandboxes accelerating product launches | 1.5% | Europe, Asia-Pacific, selective North American states | Short term (≤ 2 years) | </w:t>
      </w:r>
    </w:p>
    <w:p>
      <w:pPr/>
      <w:r>
        <w:rPr>
          <w:rFonts w:ascii="Helvetica Light" w:hAnsi="Helvetica Light" w:cs="Helvetica Light"/>
          <w:sz w:val="24"/>
          <w:sz-cs w:val="24"/>
        </w:rPr>
        <w:t xml:space="preserve">Data partnerships with mobility &amp; IoT platforms | 1.8% | Global, with Europe leading due to the regulatory framework | Long term (≥ 4 years) | </w:t>
      </w:r>
    </w:p>
    <w:p>
      <w:pPr/>
      <w:r>
        <w:rPr>
          <w:rFonts w:ascii="Helvetica Light" w:hAnsi="Helvetica Light" w:cs="Helvetica Light"/>
          <w:sz w:val="24"/>
          <w:sz-cs w:val="24"/>
        </w:rPr>
        <w:t xml:space="preserve">Rapid growth of embedded distribution models | 2.4% | Global, with Asia-Pacific showing the highest adoption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current competitive landscape exhibits moderate fragmentation, with the top five players collectively accounting for a limited market share. This scenario presents substantial opportunities for differentiation and strategic positioning. Players cluster into three archetypes: incumbent carriers digitizing cores, born-digital full-stack insurers, and technology vendors selling SaaS modules. Incumbents leverage brand trust and balance-sheet heft but must modernize legacy estates to match the insurtech market’s agility. Born-digital firms prize rapid iteration and often specialize in a single line before broadening through multi-risk platforms. Technology vendors, including DXC Technology and Microsoft Azure partners, monetize migration toolkits and AI accelerators that enable carriers to leapfrog multi-year waterfall projects.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activity intensified in 2025 as reinsurers moved downstream to secure data access and underwriting talent; Munich Re’s integration of Next Insurance into ERGO illustrates the trend. Meanwhile, Zurich’s minority stake in European auto-insurance Ominimo demonstrates how incumbents hedge innovation risk through option-like investments that maintain future acquisition rights. Embedded-platform specialist Bolttech attained a USD 2.1 billion valuation after its Series C, signalling investor belief in orchestration layers that connect insurers and non-insurance brands. Despite funding pullbacks for early-stage ventures, scale-ups with positive loss ratios continue to attract capital, particularly when they expand into under-penetrated APAC or LATAM markets. Over time, competitive advantage will likely accrue to firms that combine proprietary data, modular tech stacks, and prudent re-insurance partnerships, positioning them to expand insurtech market share as consolidation gathers 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Insurtech Industry Leaders* Lemonade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Hippo 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Root 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Oscar Health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Bright Health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insurtech market, as defined for this study, covers technology-led products and services that are used by insurers, intermediaries, and related partners to improve how insurance is sold, underwritten, and serviced, including claims and policy administration, across all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the full value of insurance premiums and only counts insurtech-related technology value when it is directly tied to insurance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Line (Insurance Type)* Life Insurance</w:t>
      </w:r>
    </w:p>
    <w:p>
      <w:pPr/>
      <w:r>
        <w:rPr>
          <w:rFonts w:ascii="Helvetica Light" w:hAnsi="Helvetica Light" w:cs="Helvetica Light"/>
          <w:sz w:val="24"/>
          <w:sz-cs w:val="24"/>
        </w:rPr>
        <w:t xml:space="preserve">* Health Insurance</w:t>
      </w:r>
    </w:p>
    <w:p>
      <w:pPr/>
      <w:r>
        <w:rPr>
          <w:rFonts w:ascii="Helvetica Light" w:hAnsi="Helvetica Light" w:cs="Helvetica Light"/>
          <w:sz w:val="24"/>
          <w:sz-cs w:val="24"/>
        </w:rPr>
        <w:t xml:space="preserve">* Property &amp; Casualty (P&amp;C): Motor, Home, Commercial, Liability, etc.</w:t>
      </w:r>
    </w:p>
    <w:p>
      <w:pPr/>
      <w:r>
        <w:rPr>
          <w:rFonts w:ascii="Helvetica Light" w:hAnsi="Helvetica Light" w:cs="Helvetica Light"/>
          <w:sz w:val="24"/>
          <w:sz-cs w:val="24"/>
        </w:rPr>
        <w:t xml:space="preserve">* Specialty Lines (e.g., cyber, pet, marine,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Direct-to-Consumer (D2C) Digital</w:t>
      </w:r>
    </w:p>
    <w:p>
      <w:pPr/>
      <w:r>
        <w:rPr>
          <w:rFonts w:ascii="Helvetica Light" w:hAnsi="Helvetica Light" w:cs="Helvetica Light"/>
          <w:sz w:val="24"/>
          <w:sz-cs w:val="24"/>
        </w:rPr>
        <w:t xml:space="preserve">* Aggregators/Marketplaces</w:t>
      </w:r>
    </w:p>
    <w:p>
      <w:pPr/>
      <w:r>
        <w:rPr>
          <w:rFonts w:ascii="Helvetica Light" w:hAnsi="Helvetica Light" w:cs="Helvetica Light"/>
          <w:sz w:val="24"/>
          <w:sz-cs w:val="24"/>
        </w:rPr>
        <w:t xml:space="preserve">* Digital Brokers/MGAs</w:t>
      </w:r>
    </w:p>
    <w:p>
      <w:pPr/>
      <w:r>
        <w:rPr>
          <w:rFonts w:ascii="Helvetica Light" w:hAnsi="Helvetica Light" w:cs="Helvetica Light"/>
          <w:sz w:val="24"/>
          <w:sz-cs w:val="24"/>
        </w:rPr>
        <w:t xml:space="preserve">* Embedded Insurance Platforms</w:t>
      </w:r>
    </w:p>
    <w:p>
      <w:pPr/>
      <w:r>
        <w:rPr>
          <w:rFonts w:ascii="Helvetica Light" w:hAnsi="Helvetica Light" w:cs="Helvetica Light"/>
          <w:sz w:val="24"/>
          <w:sz-cs w:val="24"/>
        </w:rPr>
        <w:t xml:space="preserve">* Traditional Agents/Brokers (digitally enabled)</w:t>
      </w:r>
    </w:p>
    <w:p>
      <w:pPr/>
      <w:r>
        <w:rPr>
          <w:rFonts w:ascii="Helvetica Light" w:hAnsi="Helvetica Light" w:cs="Helvetica Light"/>
          <w:sz w:val="24"/>
          <w:sz-cs w:val="24"/>
        </w:rPr>
        <w:t xml:space="preserve">* Bancassurance (digitally enabled)</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Retail/Individual</w:t>
      </w:r>
    </w:p>
    <w:p>
      <w:pPr/>
      <w:r>
        <w:rPr>
          <w:rFonts w:ascii="Helvetica Light" w:hAnsi="Helvetica Light" w:cs="Helvetica Light"/>
          <w:sz w:val="24"/>
          <w:sz-cs w:val="24"/>
        </w:rPr>
        <w:t xml:space="preserve">* SME/Commercial</w:t>
      </w:r>
    </w:p>
    <w:p>
      <w:pPr/>
      <w:r>
        <w:rPr>
          <w:rFonts w:ascii="Helvetica Light" w:hAnsi="Helvetica Light" w:cs="Helvetica Light"/>
          <w:sz w:val="24"/>
          <w:sz-cs w:val="24"/>
        </w:rPr>
        <w:t xml:space="preserve">* Large Enterprise/Corporate</w:t>
      </w:r>
    </w:p>
    <w:p>
      <w:pPr/>
      <w:r>
        <w:rPr>
          <w:rFonts w:ascii="Helvetica Light" w:hAnsi="Helvetica Light" w:cs="Helvetica Light"/>
          <w:sz w:val="24"/>
          <w:sz-cs w:val="24"/>
        </w:rPr>
        <w:t xml:space="preserve">* Government/Public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(Value, USD Bn)*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insurtech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Insurtech market stands at USD 1.34 trillion in 2026 and is forecast to reach USD 2.44 trillion by 2031 at a 12.72%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line is growing fastest within the Insurtech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Lines—including cyber, pet, marine, and travel—are projected to grow at a 18.63% CAGR, outpacing mature Property &amp; Casualty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embedded insurance in upcoming distribution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platforms are expected to log a 16.78% CAGR through 2031, integrating coverage directly into e-commerce, travel, and SaaS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viewed as the high-growth region for Insurtech?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benefits from smartphone-first consumers, supportive fintech policies, and low existing insurance penetration, driving a 16.25%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challenges do Insurtech's face when scaling internationally?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Fragmented regulatory regimes, legacy system integration, and fluctuating re-insurance capacity remain the main barriers to rapid cross-border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fragmented is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Moderate fragmentation defines the current competitive scene; the largest five participants hold only a combined share, leaving ample whitespace for differentiation.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