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International Express Service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Express, CEP &amp; Last-Mile Delivery (Logistics &amp; Supply Chain)  </w:t>
      </w:r>
    </w:p>
    <w:p>
      <w:pPr/>
      <w:r>
        <w:rPr>
          <w:rFonts w:ascii="Helvetica Light" w:hAnsi="Helvetica Light" w:cs="Helvetica Light"/>
          <w:sz w:val="24"/>
          <w:sz-cs w:val="24"/>
        </w:rPr>
        <w:t xml:space="preserve">&gt; **Source:** [https://www.mordorintelligence.com/industry-reports/global-international-express-service-market](https://www.mordorintelligence.com/industry-reports/global-international-express-service-market)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74.5 billion |</w:t>
      </w:r>
    </w:p>
    <w:p>
      <w:pPr/>
      <w:r>
        <w:rPr>
          <w:rFonts w:ascii="Helvetica Light" w:hAnsi="Helvetica Light" w:cs="Helvetica Light"/>
          <w:sz w:val="24"/>
          <w:sz-cs w:val="24"/>
        </w:rPr>
        <w:t xml:space="preserve">| **Projected Forecast (2031)** | USD 74.5 billion |</w:t>
      </w:r>
    </w:p>
    <w:p>
      <w:pPr/>
      <w:r>
        <w:rPr>
          <w:rFonts w:ascii="Helvetica Light" w:hAnsi="Helvetica Light" w:cs="Helvetica Light"/>
          <w:sz w:val="24"/>
          <w:sz-cs w:val="24"/>
        </w:rPr>
        <w:t xml:space="preserve">| **Growth Rate (CAGR)** | 5.97 %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Express Service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Express Service Market: Market Share by End User Industry,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Express Service Market: Market Share by By Shipment Weight,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Express Service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Express Service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2018 - 2031 | </w:t>
      </w:r>
    </w:p>
    <w:p>
      <w:pPr/>
      <w:r>
        <w:rPr>
          <w:rFonts w:ascii="Helvetica Light" w:hAnsi="Helvetica Light" w:cs="Helvetica Light"/>
          <w:sz w:val="24"/>
          <w:sz-cs w:val="24"/>
        </w:rPr>
        <w:t xml:space="preserve">Market Size (2026) | USD 74.5 Billion | </w:t>
      </w:r>
    </w:p>
    <w:p>
      <w:pPr/>
      <w:r>
        <w:rPr>
          <w:rFonts w:ascii="Helvetica Light" w:hAnsi="Helvetica Light" w:cs="Helvetica Light"/>
          <w:sz w:val="24"/>
          <w:sz-cs w:val="24"/>
        </w:rPr>
        <w:t xml:space="preserve">Market Size (2031) | USD 99.56 Billion | </w:t>
      </w:r>
    </w:p>
    <w:p>
      <w:pPr/>
      <w:r>
        <w:rPr>
          <w:rFonts w:ascii="Helvetica Light" w:hAnsi="Helvetica Light" w:cs="Helvetica Light"/>
          <w:sz w:val="24"/>
          <w:sz-cs w:val="24"/>
        </w:rPr>
        <w:t xml:space="preserve">Growth Rate (2026 - 2031) | 5.97 %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Express Service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international express service market size in 2026 is estimated at USD 74.5 billion, growing from 2025 value of USD 70.3 billion with 2031 projections showing USD 99.56 billion, growing at 5.97% CAGR over 2026-2031. Rising cross-border e-commerce volumes, expanding free-trade frameworks, and accelerating supply-chain regionalization are reinforcing demand for premium door-to-door delivery, while technology investments in automated sortation and AI-enabled routing strengthen service reliability and cost control. Express carriers are also scaling temperature-controlled capabilities to capture biologics and specialty-food flows, and they are investing in sustainable aviation fuels plus electric ground fleets to comply with carbon mandates. Competitive intensity is heightening as geopolitical airspace closures reroute long-haul lanes and boost fuel burn, pressing operators to recalibrate networks through data-driven planning. Amid these shifts, Asia-Pacific retains a pivotal role as both production engine and consumption arena, underpinning new service corridors that link factory clusters with global buyer hubs.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shipment weight, lightweight parcels accounted for 59.21% of the international express service market share in 2025, while heavyweight parcels are expanding at a 6.05% CAGR from 2026-2031, the fastest among weight bands.</w:t>
      </w:r>
    </w:p>
    <w:p>
      <w:pPr/>
      <w:r>
        <w:rPr>
          <w:rFonts w:ascii="Helvetica Light" w:hAnsi="Helvetica Light" w:cs="Helvetica Light"/>
          <w:sz w:val="24"/>
          <w:sz-cs w:val="24"/>
        </w:rPr>
        <w:t xml:space="preserve">* By route, inter-region flows captured 72.34% of the international express service market size in 2025, while intra-region services are forecast to grow at a 5.55% CAGR between 2026-2031.</w:t>
      </w:r>
    </w:p>
    <w:p>
      <w:pPr/>
      <w:r>
        <w:rPr>
          <w:rFonts w:ascii="Helvetica Light" w:hAnsi="Helvetica Light" w:cs="Helvetica Light"/>
          <w:sz w:val="24"/>
          <w:sz-cs w:val="24"/>
        </w:rPr>
        <w:t xml:space="preserve">* By end user industry, e-commerce led with 43.62% of the revenue share in 2025; healthcare is projected to advance at a 7.16% CAGR between 2026-2031.</w:t>
      </w:r>
    </w:p>
    <w:p>
      <w:pPr/>
      <w:r>
        <w:rPr>
          <w:rFonts w:ascii="Helvetica Light" w:hAnsi="Helvetica Light" w:cs="Helvetica Light"/>
          <w:sz w:val="24"/>
          <w:sz-cs w:val="24"/>
        </w:rPr>
        <w:t xml:space="preserve">* By region, Asia-Pacific dominated with a 54.38% share of the revenue in 2025, whereas the Middle East and Africa segment is poised for a 7.55%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International Express Service Market*Driver | (~) % Impact on CAGR Forecast | Geographic Relevance | Impact Timeline | </w:t>
      </w:r>
    </w:p>
    <w:p>
      <w:pPr/>
      <w:r>
        <w:rPr>
          <w:rFonts w:ascii="Helvetica Light" w:hAnsi="Helvetica Light" w:cs="Helvetica Light"/>
          <w:sz w:val="24"/>
          <w:sz-cs w:val="24"/>
        </w:rPr>
        <w:t xml:space="preserve">Explosive growth of cross-border e-commerce | +1.8% | Global; APAC and North America lead | Medium term (2-4 years) | </w:t>
      </w:r>
    </w:p>
    <w:p>
      <w:pPr/>
      <w:r>
        <w:rPr>
          <w:rFonts w:ascii="Helvetica Light" w:hAnsi="Helvetica Light" w:cs="Helvetica Light"/>
          <w:sz w:val="24"/>
          <w:sz-cs w:val="24"/>
        </w:rPr>
        <w:t xml:space="preserve">Time-definite B2B delivery preference | +1.2% | Global; concentrated in manufacturing hubs | Short term (≤ 2 years) | </w:t>
      </w:r>
    </w:p>
    <w:p>
      <w:pPr/>
      <w:r>
        <w:rPr>
          <w:rFonts w:ascii="Helvetica Light" w:hAnsi="Helvetica Light" w:cs="Helvetica Light"/>
          <w:sz w:val="24"/>
          <w:sz-cs w:val="24"/>
        </w:rPr>
        <w:t xml:space="preserve">Trade liberalization and FTAs expansion | +0.9% | APAC core; spill-over to MEA and South America | Long term (≥ 4 years) | </w:t>
      </w:r>
    </w:p>
    <w:p>
      <w:pPr/>
      <w:r>
        <w:rPr>
          <w:rFonts w:ascii="Helvetica Light" w:hAnsi="Helvetica Light" w:cs="Helvetica Light"/>
          <w:sz w:val="24"/>
          <w:sz-cs w:val="24"/>
        </w:rPr>
        <w:t xml:space="preserve">AI-driven route optimization on underserved lanes | +0.7% | Global; early adoption in North America and Europe | Medium term (2-4 years) | </w:t>
      </w:r>
    </w:p>
    <w:p>
      <w:pPr/>
      <w:r>
        <w:rPr>
          <w:rFonts w:ascii="Helvetica Light" w:hAnsi="Helvetica Light" w:cs="Helvetica Light"/>
          <w:sz w:val="24"/>
          <w:sz-cs w:val="24"/>
        </w:rPr>
        <w:t xml:space="preserve">Temperature-controlled express for biologics and gourmet foods | +0.5% | North America, Europe, select APAC | Long term (≥ 4 years) | </w:t>
      </w:r>
    </w:p>
    <w:p>
      <w:pPr/>
      <w:r>
        <w:rPr>
          <w:rFonts w:ascii="Helvetica Light" w:hAnsi="Helvetica Light" w:cs="Helvetica Light"/>
          <w:sz w:val="24"/>
          <w:sz-cs w:val="24"/>
        </w:rPr>
        <w:t xml:space="preserve">SME fulfillment hubs in tier-2 APAC cities | +0.4% | APAC core; expansion to emerging markets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international express service market is moderately consolidated, with DHL, FedEx, and UPS anchoring global coverage through multi-continent air fleets, expansive ground assets, and proprietary IT stacks. Their dominance forces midsize specialists such as SF Express, Aramex, CJ Logistics, and Yamato to carve niche advantages in home regions or vertical specialties. Artificial-intelligence route optimization and dynamic pricing narrow historical scale gaps, enabling challengers to match reliability on selective lanes. Strategic emphasis has shifted from general freight to high-margin segments like healthcare, perishables, and high-tech machinery, explaining why DHL earmarked EUR 2 billion (USD 2.20 billion) for life sciences and why FedEx opened a Qatar free-zone hub to bridge Asia-Europe 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Mergers and acquisitions remain a key tool for coverage expansion. European logistics M&amp;A volumes reached 364 deals in 2024, a 15% jump year over year, highlighted by DSV’s bid for Schenker and SF Express’ EUR 280 million (USD 309 million) purchase of a European forwarder. Cross-border deals represented 44% of transactions, underscoring network consolidation aimed at lowering per-package overheads and bargaining power with airlines and ground-handlers. Despite consolidation, regulatory scrutiny limits megadeals, encouraging alliances and joint ventures such as Japan Post’s pact with International Distributions Services to share long-haul uplift from Tokyo to London.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partnerships amplify competitive positioning. UPS adopted an AI route-optimization engine that shaved minutes off each stop, promising lower emissions and driver overtime. FedEx rolled out a carbon-neutral premium lane in Europe, bundling sustainable aviation fuel credits with electric terminal handling. DHL’s tie-up with Microsoft to deploy predictive analytics across supply-chain touchpoints illustrates the strategic shift toward data-driven differentiation, ensuring that customer-experience metrics—on-time performance, proactive alerting, and invoice accuracy—remain core battlegrounds in the international express service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Express Service Industry Leaders*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FedEx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 Poste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SF Express (KEX-SF)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United Parcel Service of America, Inc. (UPS)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International Express Service Market Report ScopeHeavy Weight Shipments, Light Weight Shipments, Medium Weight Shipments are covered as segments by Shipment Weight. Inter-Region, Intra-Region are covered as segments by Route. E-Commerce, Financial Services (BFSI), Healthcare, Manufacturing, Primary Industry, Wholesale and Retail Trade (Offline), Others are covered as segments by End User Industry. Africa, Asia Pacific, Europe, GCC, North America, South America are covered as segments by Region.Shipment WeightHeavy Weight Shipments | </w:t>
      </w:r>
    </w:p>
    <w:p>
      <w:pPr/>
      <w:r>
        <w:rPr>
          <w:rFonts w:ascii="Helvetica Light" w:hAnsi="Helvetica Light" w:cs="Helvetica Light"/>
          <w:sz w:val="24"/>
          <w:sz-cs w:val="24"/>
        </w:rPr>
        <w:t xml:space="preserve">Light Weight Shipments | </w:t>
      </w:r>
    </w:p>
    <w:p>
      <w:pPr/>
      <w:r>
        <w:rPr>
          <w:rFonts w:ascii="Helvetica Light" w:hAnsi="Helvetica Light" w:cs="Helvetica Light"/>
          <w:sz w:val="24"/>
          <w:sz-cs w:val="24"/>
        </w:rPr>
        <w:t xml:space="preserve">Medium Weight Shipments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RegionAsia-Pacific | By Country | Australia | </w:t>
      </w:r>
    </w:p>
    <w:p>
      <w:pPr/>
      <w:r>
        <w:rPr>
          <w:rFonts w:ascii="Helvetica Light" w:hAnsi="Helvetica Light" w:cs="Helvetica Light"/>
          <w:sz w:val="24"/>
          <w:sz-cs w:val="24"/>
        </w:rPr>
        <w:t xml:space="preserve"> | | China | </w:t>
      </w:r>
    </w:p>
    <w:p>
      <w:pPr/>
      <w:r>
        <w:rPr>
          <w:rFonts w:ascii="Helvetica Light" w:hAnsi="Helvetica Light" w:cs="Helvetica Light"/>
          <w:sz w:val="24"/>
          <w:sz-cs w:val="24"/>
        </w:rPr>
        <w:t xml:space="preserve"> | | India | </w:t>
      </w:r>
    </w:p>
    <w:p>
      <w:pPr/>
      <w:r>
        <w:rPr>
          <w:rFonts w:ascii="Helvetica Light" w:hAnsi="Helvetica Light" w:cs="Helvetica Light"/>
          <w:sz w:val="24"/>
          <w:sz-cs w:val="24"/>
        </w:rPr>
        <w:t xml:space="preserve"> | | Indonesia | </w:t>
      </w:r>
    </w:p>
    <w:p>
      <w:pPr/>
      <w:r>
        <w:rPr>
          <w:rFonts w:ascii="Helvetica Light" w:hAnsi="Helvetica Light" w:cs="Helvetica Light"/>
          <w:sz w:val="24"/>
          <w:sz-cs w:val="24"/>
        </w:rPr>
        <w:t xml:space="preserve"> | | Japan | </w:t>
      </w:r>
    </w:p>
    <w:p>
      <w:pPr/>
      <w:r>
        <w:rPr>
          <w:rFonts w:ascii="Helvetica Light" w:hAnsi="Helvetica Light" w:cs="Helvetica Light"/>
          <w:sz w:val="24"/>
          <w:sz-cs w:val="24"/>
        </w:rPr>
        <w:t xml:space="preserve"> | | Malaysia | </w:t>
      </w:r>
    </w:p>
    <w:p>
      <w:pPr/>
      <w:r>
        <w:rPr>
          <w:rFonts w:ascii="Helvetica Light" w:hAnsi="Helvetica Light" w:cs="Helvetica Light"/>
          <w:sz w:val="24"/>
          <w:sz-cs w:val="24"/>
        </w:rPr>
        <w:t xml:space="preserve"> | | Pakistan | </w:t>
      </w:r>
    </w:p>
    <w:p>
      <w:pPr/>
      <w:r>
        <w:rPr>
          <w:rFonts w:ascii="Helvetica Light" w:hAnsi="Helvetica Light" w:cs="Helvetica Light"/>
          <w:sz w:val="24"/>
          <w:sz-cs w:val="24"/>
        </w:rPr>
        <w:t xml:space="preserve"> | | Philippines | </w:t>
      </w:r>
    </w:p>
    <w:p>
      <w:pPr/>
      <w:r>
        <w:rPr>
          <w:rFonts w:ascii="Helvetica Light" w:hAnsi="Helvetica Light" w:cs="Helvetica Light"/>
          <w:sz w:val="24"/>
          <w:sz-cs w:val="24"/>
        </w:rPr>
        <w:t xml:space="preserve"> | | Thailand | </w:t>
      </w:r>
    </w:p>
    <w:p>
      <w:pPr/>
      <w:r>
        <w:rPr>
          <w:rFonts w:ascii="Helvetica Light" w:hAnsi="Helvetica Light" w:cs="Helvetica Light"/>
          <w:sz w:val="24"/>
          <w:sz-cs w:val="24"/>
        </w:rPr>
        <w:t xml:space="preserve"> | | Vietnam | </w:t>
      </w:r>
    </w:p>
    <w:p>
      <w:pPr/>
      <w:r>
        <w:rPr>
          <w:rFonts w:ascii="Helvetica Light" w:hAnsi="Helvetica Light" w:cs="Helvetica Light"/>
          <w:sz w:val="24"/>
          <w:sz-cs w:val="24"/>
        </w:rPr>
        <w:t xml:space="preserve"> | | Rest of Asia-Pacific | </w:t>
      </w:r>
    </w:p>
    <w:p>
      <w:pPr/>
      <w:r>
        <w:rPr>
          <w:rFonts w:ascii="Helvetica Light" w:hAnsi="Helvetica Light" w:cs="Helvetica Light"/>
          <w:sz w:val="24"/>
          <w:sz-cs w:val="24"/>
        </w:rPr>
        <w:t xml:space="preserve">Europe | By Country | Albania | </w:t>
      </w:r>
    </w:p>
    <w:p>
      <w:pPr/>
      <w:r>
        <w:rPr>
          <w:rFonts w:ascii="Helvetica Light" w:hAnsi="Helvetica Light" w:cs="Helvetica Light"/>
          <w:sz w:val="24"/>
          <w:sz-cs w:val="24"/>
        </w:rPr>
        <w:t xml:space="preserve"> | | Bulgaria | </w:t>
      </w:r>
    </w:p>
    <w:p>
      <w:pPr/>
      <w:r>
        <w:rPr>
          <w:rFonts w:ascii="Helvetica Light" w:hAnsi="Helvetica Light" w:cs="Helvetica Light"/>
          <w:sz w:val="24"/>
          <w:sz-cs w:val="24"/>
        </w:rPr>
        <w:t xml:space="preserve"> | | Croatia | </w:t>
      </w:r>
    </w:p>
    <w:p>
      <w:pPr/>
      <w:r>
        <w:rPr>
          <w:rFonts w:ascii="Helvetica Light" w:hAnsi="Helvetica Light" w:cs="Helvetica Light"/>
          <w:sz w:val="24"/>
          <w:sz-cs w:val="24"/>
        </w:rPr>
        <w:t xml:space="preserve"> | | Czech Republic | </w:t>
      </w:r>
    </w:p>
    <w:p>
      <w:pPr/>
      <w:r>
        <w:rPr>
          <w:rFonts w:ascii="Helvetica Light" w:hAnsi="Helvetica Light" w:cs="Helvetica Light"/>
          <w:sz w:val="24"/>
          <w:sz-cs w:val="24"/>
        </w:rPr>
        <w:t xml:space="preserve"> | | Denmark | </w:t>
      </w:r>
    </w:p>
    <w:p>
      <w:pPr/>
      <w:r>
        <w:rPr>
          <w:rFonts w:ascii="Helvetica Light" w:hAnsi="Helvetica Light" w:cs="Helvetica Light"/>
          <w:sz w:val="24"/>
          <w:sz-cs w:val="24"/>
        </w:rPr>
        <w:t xml:space="preserve"> | | Estonia | </w:t>
      </w:r>
    </w:p>
    <w:p>
      <w:pPr/>
      <w:r>
        <w:rPr>
          <w:rFonts w:ascii="Helvetica Light" w:hAnsi="Helvetica Light" w:cs="Helvetica Light"/>
          <w:sz w:val="24"/>
          <w:sz-cs w:val="24"/>
        </w:rPr>
        <w:t xml:space="preserve"> | | Finland | </w:t>
      </w:r>
    </w:p>
    <w:p>
      <w:pPr/>
      <w:r>
        <w:rPr>
          <w:rFonts w:ascii="Helvetica Light" w:hAnsi="Helvetica Light" w:cs="Helvetica Light"/>
          <w:sz w:val="24"/>
          <w:sz-cs w:val="24"/>
        </w:rPr>
        <w:t xml:space="preserve"> | | France | </w:t>
      </w:r>
    </w:p>
    <w:p>
      <w:pPr/>
      <w:r>
        <w:rPr>
          <w:rFonts w:ascii="Helvetica Light" w:hAnsi="Helvetica Light" w:cs="Helvetica Light"/>
          <w:sz w:val="24"/>
          <w:sz-cs w:val="24"/>
        </w:rPr>
        <w:t xml:space="preserve"> | | Germany | </w:t>
      </w:r>
    </w:p>
    <w:p>
      <w:pPr/>
      <w:r>
        <w:rPr>
          <w:rFonts w:ascii="Helvetica Light" w:hAnsi="Helvetica Light" w:cs="Helvetica Light"/>
          <w:sz w:val="24"/>
          <w:sz-cs w:val="24"/>
        </w:rPr>
        <w:t xml:space="preserve"> | | Hungary | </w:t>
      </w:r>
    </w:p>
    <w:p>
      <w:pPr/>
      <w:r>
        <w:rPr>
          <w:rFonts w:ascii="Helvetica Light" w:hAnsi="Helvetica Light" w:cs="Helvetica Light"/>
          <w:sz w:val="24"/>
          <w:sz-cs w:val="24"/>
        </w:rPr>
        <w:t xml:space="preserve"> | | Iceland | </w:t>
      </w:r>
    </w:p>
    <w:p>
      <w:pPr/>
      <w:r>
        <w:rPr>
          <w:rFonts w:ascii="Helvetica Light" w:hAnsi="Helvetica Light" w:cs="Helvetica Light"/>
          <w:sz w:val="24"/>
          <w:sz-cs w:val="24"/>
        </w:rPr>
        <w:t xml:space="preserve"> | | Italy | </w:t>
      </w:r>
    </w:p>
    <w:p>
      <w:pPr/>
      <w:r>
        <w:rPr>
          <w:rFonts w:ascii="Helvetica Light" w:hAnsi="Helvetica Light" w:cs="Helvetica Light"/>
          <w:sz w:val="24"/>
          <w:sz-cs w:val="24"/>
        </w:rPr>
        <w:t xml:space="preserve"> | | Latvia | </w:t>
      </w:r>
    </w:p>
    <w:p>
      <w:pPr/>
      <w:r>
        <w:rPr>
          <w:rFonts w:ascii="Helvetica Light" w:hAnsi="Helvetica Light" w:cs="Helvetica Light"/>
          <w:sz w:val="24"/>
          <w:sz-cs w:val="24"/>
        </w:rPr>
        <w:t xml:space="preserve"> | | Lithuania | </w:t>
      </w:r>
    </w:p>
    <w:p>
      <w:pPr/>
      <w:r>
        <w:rPr>
          <w:rFonts w:ascii="Helvetica Light" w:hAnsi="Helvetica Light" w:cs="Helvetica Light"/>
          <w:sz w:val="24"/>
          <w:sz-cs w:val="24"/>
        </w:rPr>
        <w:t xml:space="preserve"> | | Netherlands | </w:t>
      </w:r>
    </w:p>
    <w:p>
      <w:pPr/>
      <w:r>
        <w:rPr>
          <w:rFonts w:ascii="Helvetica Light" w:hAnsi="Helvetica Light" w:cs="Helvetica Light"/>
          <w:sz w:val="24"/>
          <w:sz-cs w:val="24"/>
        </w:rPr>
        <w:t xml:space="preserve"> | | Norway | </w:t>
      </w:r>
    </w:p>
    <w:p>
      <w:pPr/>
      <w:r>
        <w:rPr>
          <w:rFonts w:ascii="Helvetica Light" w:hAnsi="Helvetica Light" w:cs="Helvetica Light"/>
          <w:sz w:val="24"/>
          <w:sz-cs w:val="24"/>
        </w:rPr>
        <w:t xml:space="preserve"> | | Poland | </w:t>
      </w:r>
    </w:p>
    <w:p>
      <w:pPr/>
      <w:r>
        <w:rPr>
          <w:rFonts w:ascii="Helvetica Light" w:hAnsi="Helvetica Light" w:cs="Helvetica Light"/>
          <w:sz w:val="24"/>
          <w:sz-cs w:val="24"/>
        </w:rPr>
        <w:t xml:space="preserve"> | | Romania | </w:t>
      </w:r>
    </w:p>
    <w:p>
      <w:pPr/>
      <w:r>
        <w:rPr>
          <w:rFonts w:ascii="Helvetica Light" w:hAnsi="Helvetica Light" w:cs="Helvetica Light"/>
          <w:sz w:val="24"/>
          <w:sz-cs w:val="24"/>
        </w:rPr>
        <w:t xml:space="preserve"> | | Russia | </w:t>
      </w:r>
    </w:p>
    <w:p>
      <w:pPr/>
      <w:r>
        <w:rPr>
          <w:rFonts w:ascii="Helvetica Light" w:hAnsi="Helvetica Light" w:cs="Helvetica Light"/>
          <w:sz w:val="24"/>
          <w:sz-cs w:val="24"/>
        </w:rPr>
        <w:t xml:space="preserve"> | | Slovak Republic | </w:t>
      </w:r>
    </w:p>
    <w:p>
      <w:pPr/>
      <w:r>
        <w:rPr>
          <w:rFonts w:ascii="Helvetica Light" w:hAnsi="Helvetica Light" w:cs="Helvetica Light"/>
          <w:sz w:val="24"/>
          <w:sz-cs w:val="24"/>
        </w:rPr>
        <w:t xml:space="preserve"> | | Slovenia | </w:t>
      </w:r>
    </w:p>
    <w:p>
      <w:pPr/>
      <w:r>
        <w:rPr>
          <w:rFonts w:ascii="Helvetica Light" w:hAnsi="Helvetica Light" w:cs="Helvetica Light"/>
          <w:sz w:val="24"/>
          <w:sz-cs w:val="24"/>
        </w:rPr>
        <w:t xml:space="preserve"> | | Spain | </w:t>
      </w:r>
    </w:p>
    <w:p>
      <w:pPr/>
      <w:r>
        <w:rPr>
          <w:rFonts w:ascii="Helvetica Light" w:hAnsi="Helvetica Light" w:cs="Helvetica Light"/>
          <w:sz w:val="24"/>
          <w:sz-cs w:val="24"/>
        </w:rPr>
        <w:t xml:space="preserve"> | | Sweden | </w:t>
      </w:r>
    </w:p>
    <w:p>
      <w:pPr/>
      <w:r>
        <w:rPr>
          <w:rFonts w:ascii="Helvetica Light" w:hAnsi="Helvetica Light" w:cs="Helvetica Light"/>
          <w:sz w:val="24"/>
          <w:sz-cs w:val="24"/>
        </w:rPr>
        <w:t xml:space="preserve"> | | Switzerland | </w:t>
      </w:r>
    </w:p>
    <w:p>
      <w:pPr/>
      <w:r>
        <w:rPr>
          <w:rFonts w:ascii="Helvetica Light" w:hAnsi="Helvetica Light" w:cs="Helvetica Light"/>
          <w:sz w:val="24"/>
          <w:sz-cs w:val="24"/>
        </w:rPr>
        <w:t xml:space="preserve"> | | United Kingdom | </w:t>
      </w:r>
    </w:p>
    <w:p>
      <w:pPr/>
      <w:r>
        <w:rPr>
          <w:rFonts w:ascii="Helvetica Light" w:hAnsi="Helvetica Light" w:cs="Helvetica Light"/>
          <w:sz w:val="24"/>
          <w:sz-cs w:val="24"/>
        </w:rPr>
        <w:t xml:space="preserve"> | | Rest of Europe | </w:t>
      </w:r>
    </w:p>
    <w:p>
      <w:pPr/>
      <w:r>
        <w:rPr>
          <w:rFonts w:ascii="Helvetica Light" w:hAnsi="Helvetica Light" w:cs="Helvetica Light"/>
          <w:sz w:val="24"/>
          <w:sz-cs w:val="24"/>
        </w:rPr>
        <w:t xml:space="preserve">Middle East and Africa | By Country | Egypt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Qatar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South Africa | </w:t>
      </w:r>
    </w:p>
    <w:p>
      <w:pPr/>
      <w:r>
        <w:rPr>
          <w:rFonts w:ascii="Helvetica Light" w:hAnsi="Helvetica Light" w:cs="Helvetica Light"/>
          <w:sz w:val="24"/>
          <w:sz-cs w:val="24"/>
        </w:rPr>
        <w:t xml:space="preserve"> | | GCC | </w:t>
      </w:r>
    </w:p>
    <w:p>
      <w:pPr/>
      <w:r>
        <w:rPr>
          <w:rFonts w:ascii="Helvetica Light" w:hAnsi="Helvetica Light" w:cs="Helvetica Light"/>
          <w:sz w:val="24"/>
          <w:sz-cs w:val="24"/>
        </w:rPr>
        <w:t xml:space="preserve"> | | UAE | </w:t>
      </w:r>
    </w:p>
    <w:p>
      <w:pPr/>
      <w:r>
        <w:rPr>
          <w:rFonts w:ascii="Helvetica Light" w:hAnsi="Helvetica Light" w:cs="Helvetica Light"/>
          <w:sz w:val="24"/>
          <w:sz-cs w:val="24"/>
        </w:rPr>
        <w:t xml:space="preserve"> | | Rest of Middle East and Africa | </w:t>
      </w:r>
    </w:p>
    <w:p>
      <w:pPr/>
      <w:r>
        <w:rPr>
          <w:rFonts w:ascii="Helvetica Light" w:hAnsi="Helvetica Light" w:cs="Helvetica Light"/>
          <w:sz w:val="24"/>
          <w:sz-cs w:val="24"/>
        </w:rPr>
        <w:t xml:space="preserve">North America | By Country | Canada | </w:t>
      </w:r>
    </w:p>
    <w:p>
      <w:pPr/>
      <w:r>
        <w:rPr>
          <w:rFonts w:ascii="Helvetica Light" w:hAnsi="Helvetica Light" w:cs="Helvetica Light"/>
          <w:sz w:val="24"/>
          <w:sz-cs w:val="24"/>
        </w:rPr>
        <w:t xml:space="preserve"> | | Mexico | </w:t>
      </w:r>
    </w:p>
    <w:p>
      <w:pPr/>
      <w:r>
        <w:rPr>
          <w:rFonts w:ascii="Helvetica Light" w:hAnsi="Helvetica Light" w:cs="Helvetica Light"/>
          <w:sz w:val="24"/>
          <w:sz-cs w:val="24"/>
        </w:rPr>
        <w:t xml:space="preserve"> | | United States | </w:t>
      </w:r>
    </w:p>
    <w:p>
      <w:pPr/>
      <w:r>
        <w:rPr>
          <w:rFonts w:ascii="Helvetica Light" w:hAnsi="Helvetica Light" w:cs="Helvetica Light"/>
          <w:sz w:val="24"/>
          <w:sz-cs w:val="24"/>
        </w:rPr>
        <w:t xml:space="preserve"> | | Rest of North America | </w:t>
      </w:r>
    </w:p>
    <w:p>
      <w:pPr/>
      <w:r>
        <w:rPr>
          <w:rFonts w:ascii="Helvetica Light" w:hAnsi="Helvetica Light" w:cs="Helvetica Light"/>
          <w:sz w:val="24"/>
          <w:sz-cs w:val="24"/>
        </w:rPr>
        <w:t xml:space="preserve">South America | By Country | Argentina | </w:t>
      </w:r>
    </w:p>
    <w:p>
      <w:pPr/>
      <w:r>
        <w:rPr>
          <w:rFonts w:ascii="Helvetica Light" w:hAnsi="Helvetica Light" w:cs="Helvetica Light"/>
          <w:sz w:val="24"/>
          <w:sz-cs w:val="24"/>
        </w:rPr>
        <w:t xml:space="preserve"> | | Brazil | </w:t>
      </w:r>
    </w:p>
    <w:p>
      <w:pPr/>
      <w:r>
        <w:rPr>
          <w:rFonts w:ascii="Helvetica Light" w:hAnsi="Helvetica Light" w:cs="Helvetica Light"/>
          <w:sz w:val="24"/>
          <w:sz-cs w:val="24"/>
        </w:rPr>
        <w:t xml:space="preserve"> | | Chile | </w:t>
      </w:r>
    </w:p>
    <w:p>
      <w:pPr/>
      <w:r>
        <w:rPr>
          <w:rFonts w:ascii="Helvetica Light" w:hAnsi="Helvetica Light" w:cs="Helvetica Light"/>
          <w:sz w:val="24"/>
          <w:sz-cs w:val="24"/>
        </w:rPr>
        <w:t xml:space="preserve"> | | Rest of South America | </w:t>
      </w:r>
    </w:p>
    <w:p>
      <w:pPr/>
      <w:r>
        <w:rPr>
          <w:rFonts w:ascii="Helvetica Light" w:hAnsi="Helvetica Light" w:cs="Helvetica Light"/>
          <w:sz w:val="24"/>
          <w:sz-cs w:val="24"/>
        </w:rPr>
        <w:t xml:space="preserve">Rest of World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international express service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valued at USD 74.5 billion in 2026 and is projected to reach USD 99.56 billion by 2031, reflecting a 5.97%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in international express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commands 54.38% share in 2025, supported by high export volumes and expanding intra-regional trade corridors.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customer segment grows fastest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posts the highest growth at a 7.16% CAGR between 2026-2031 thanks to increasing biologics and temperature-controlled pharmaceutical shipments.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heavy-weight parcel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Just-in-time manufacturing in automotive and aerospace sectors is boosting demand, propelling heavy shipments at a 6.05%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carriers coping with fuel price swings?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apply indexed surcharges, invest in fuel-efficient aircraft and sustainable aviation fuels, and deploy AI-based network re-routing to contain cost spikes.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benefits does AI-driven route optimization deliver to express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Machine-learning tools rebalance load factors, reduce empty miles, and enable dynamic pricing, helping carriers maintain service reliability even on previously uneconomical lanes.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