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Liquid Fertilizers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[https://www.mordorintelligence.com/industry-reports/global-liquid-fertilizers-market](https://www.mordorintelligence.com/industry-reports/global-liquid-fertilizers-market)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10.22 billion |</w:t>
      </w:r>
    </w:p>
    <w:p>
      <w:pPr/>
      <w:r>
        <w:rPr>
          <w:rFonts w:ascii="Helvetica Light" w:hAnsi="Helvetica Light" w:cs="Helvetica Light"/>
          <w:sz w:val="24"/>
          <w:sz-cs w:val="24"/>
        </w:rPr>
        <w:t xml:space="preserve">| **Projected Forecast (2031)** | USD 10.22 billion |</w:t>
      </w:r>
    </w:p>
    <w:p>
      <w:pPr/>
      <w:r>
        <w:rPr>
          <w:rFonts w:ascii="Helvetica Light" w:hAnsi="Helvetica Light" w:cs="Helvetica Light"/>
          <w:sz w:val="24"/>
          <w:sz-cs w:val="24"/>
        </w:rPr>
        <w:t xml:space="preserve">| **Growth Rate (CAGR)** | 6.02 %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Liquid Fertilizers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(2025) | USD 10.22 Billion | </w:t>
      </w:r>
    </w:p>
    <w:p>
      <w:pPr/>
      <w:r>
        <w:rPr>
          <w:rFonts w:ascii="Helvetica Light" w:hAnsi="Helvetica Light" w:cs="Helvetica Light"/>
          <w:sz w:val="24"/>
          <w:sz-cs w:val="24"/>
        </w:rPr>
        <w:t xml:space="preserve">Market Size (2031) | USD 13.69 Billion | </w:t>
      </w:r>
    </w:p>
    <w:p>
      <w:pPr/>
      <w:r>
        <w:rPr>
          <w:rFonts w:ascii="Helvetica Light" w:hAnsi="Helvetica Light" w:cs="Helvetica Light"/>
          <w:sz w:val="24"/>
          <w:sz-cs w:val="24"/>
        </w:rPr>
        <w:t xml:space="preserve">Growth Rate (2026 - 2031) | 6.02 % | </w:t>
      </w:r>
    </w:p>
    <w:p>
      <w:pPr/>
      <w:r>
        <w:rPr>
          <w:rFonts w:ascii="Helvetica Light" w:hAnsi="Helvetica Light" w:cs="Helvetica Light"/>
          <w:sz w:val="24"/>
          <w:sz-cs w:val="24"/>
        </w:rPr>
        <w:t xml:space="preserve">Fastest Growing Market | Middle East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liquid fertilizers market size was valued at USD 9.74 billion in 2025 and is estimated to grow from USD 10.22 billion in 2026 to USD 13.69 billion by 2031, at a CAGR of 6.02% during the forecast period (2026-2031). Precision irrigation, green ammonia electrolysis, and government subsidy programs are pulling soluble formulations into mainstream farm practice, particularly across the Asia-Pacific and water-stressed parts of Africa. Nitrogenous liquids retained dominance in 2025 because urea-ammonium nitrate solutions match cereal crop phenology, while micronutrient blends are surging as smallholder growers confront chronic zinc and boron deficiencies. Real-time IoT blending units and drone-based foliar platforms are reducing application waste, elevating return on investment for field crops and horticulture operators alike. At the same time, rising scrutiny of Per- and polyfluoroalkyl substances (PFAS) chelating agents and the capital burden of corrosive-resistant logistics temper widespread adoption, leaving profitability finely balanced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straight fertilizers accounted for 58.7% of the liquid fertilizers market share in 2025, making them the largest product category. Complex fertilizers are projected to be the fastest-growing segment, advancing at a CAGR of 7.7% during 2026 to 2031.</w:t>
      </w:r>
    </w:p>
    <w:p>
      <w:pPr/>
      <w:r>
        <w:rPr>
          <w:rFonts w:ascii="Helvetica Light" w:hAnsi="Helvetica Light" w:cs="Helvetica Light"/>
          <w:sz w:val="24"/>
          <w:sz-cs w:val="24"/>
        </w:rPr>
        <w:t xml:space="preserve">* By application mode, fertigation represented the largest application segment, contributing 62.6% of the liquid fertilizers market size in 2025, and is also forecast to record the fastest growth, expanding at a CAGR of 7.3% through 2031.</w:t>
      </w:r>
    </w:p>
    <w:p>
      <w:pPr/>
      <w:r>
        <w:rPr>
          <w:rFonts w:ascii="Helvetica Light" w:hAnsi="Helvetica Light" w:cs="Helvetica Light"/>
          <w:sz w:val="24"/>
          <w:sz-cs w:val="24"/>
        </w:rPr>
        <w:t xml:space="preserve">* By crop type, horticultural crops contributed 41.4% of liquid fertilizer market in 2025, remaining the largest demand center. Turf and ornamental crops are forecast to expand at the highest rate, registering a CAGR of 7.9% during 2026 to 2031.</w:t>
      </w:r>
    </w:p>
    <w:p>
      <w:pPr/>
      <w:r>
        <w:rPr>
          <w:rFonts w:ascii="Helvetica Light" w:hAnsi="Helvetica Light" w:cs="Helvetica Light"/>
          <w:sz w:val="24"/>
          <w:sz-cs w:val="24"/>
        </w:rPr>
        <w:t xml:space="preserve">* By geography, Asia-Pacific led global liquid fertilizer revenue with a 39.9% share in 2025, while the Middle East is projected to deliver the strongest regional growth at a CAGR of 8.1%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Liquid Fertilizers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Precision irrigation adoption accelerates liquid uptake | +1.8% | Asia-Pacific core, the Middle East, Africa, and South America spillover | Medium term (2-4 years) | </w:t>
      </w:r>
    </w:p>
    <w:p>
      <w:pPr/>
      <w:r>
        <w:rPr>
          <w:rFonts w:ascii="Helvetica Light" w:hAnsi="Helvetica Light" w:cs="Helvetica Light"/>
          <w:sz w:val="24"/>
          <w:sz-cs w:val="24"/>
        </w:rPr>
        <w:t xml:space="preserve">Rapid shift toward balanced crop nutrition programs | +1.3% | Global, concentrated in North America, Europe, and the Asia-Pacific | Medium term (2-4 years) | </w:t>
      </w:r>
    </w:p>
    <w:p>
      <w:pPr/>
      <w:r>
        <w:rPr>
          <w:rFonts w:ascii="Helvetica Light" w:hAnsi="Helvetica Light" w:cs="Helvetica Light"/>
          <w:sz w:val="24"/>
          <w:sz-cs w:val="24"/>
        </w:rPr>
        <w:t xml:space="preserve">Government subsidies favoring fertigation solutions | +1.5% | India, Bangladesh, Vietnam, Nigeria, Kenya, and selected South America markets | Short term (≤ 2 years) | </w:t>
      </w:r>
    </w:p>
    <w:p>
      <w:pPr/>
      <w:r>
        <w:rPr>
          <w:rFonts w:ascii="Helvetica Light" w:hAnsi="Helvetica Light" w:cs="Helvetica Light"/>
          <w:sz w:val="24"/>
          <w:sz-cs w:val="24"/>
        </w:rPr>
        <w:t xml:space="preserve">Drone-based micro-spray fertilization platforms | +0.9% | Smallholder zones in Asia-Pacific, emerging Africa, and South America pilots | Long term (≥ 4 years) | </w:t>
      </w:r>
    </w:p>
    <w:p>
      <w:pPr/>
      <w:r>
        <w:rPr>
          <w:rFonts w:ascii="Helvetica Light" w:hAnsi="Helvetica Light" w:cs="Helvetica Light"/>
          <w:sz w:val="24"/>
          <w:sz-cs w:val="24"/>
        </w:rPr>
        <w:t xml:space="preserve">On-farm IoT blending systems enabling just-in-time mixes | +1.1% | North America, Europe, and advanced Asia-Pacific operations | Medium term (2-4 years) | </w:t>
      </w:r>
    </w:p>
    <w:p>
      <w:pPr/>
      <w:r>
        <w:rPr>
          <w:rFonts w:ascii="Helvetica Light" w:hAnsi="Helvetica Light" w:cs="Helvetica Light"/>
          <w:sz w:val="24"/>
          <w:sz-cs w:val="24"/>
        </w:rPr>
        <w:t xml:space="preserve">Nitrate-from-ammonia electrolysis lowering production cost | +0.6% | Global, early adoption in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liquid fertilizers market remains highly fragmented, with the five largest players accounting for a significant share, including Yara International ASA, Sociedad Química y Minera de Chile S.A., Indian Farmers Fertiliser Cooperative Limited (IFFCO), Grupa Azoty S.A., and Nortox SA in 2025. Yara International integrates its proprietary N-Sensor platform with liquid UAN grades, offering a bundled subscription model that combines analytics and products. Sociedad Química y Minera de Chile S.A. utilizes Chilean nitrate brine to develop potassium nitrate foliar products specifically designed for berry and avocado orchards. Tessenderlo Kerley has expanded its regional presence through the acquisitions of Tiger-Sul Products and Eastman’s Metam labels, incorporating sulfur-enhanced liquids into a comprehensive nutritional product portfolio.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trends indicate a shift toward platform-based competition, where companies combine liquid fertilizer products with application services, agronomic support, and digital farm management tools to deliver differentiated value. Opportunities are emerging in on-farm blending systems that allow real-time nutrient customization, enabling farmers to tailor nutrient applications to specific crop needs and soil conditions, thereby optimizing yields and reducing waste. Additionally, the integration of advanced analytics and precision agriculture technologies within these platforms is further driving the adoption of such systems, as they provide actionable insights for better decision-making and resource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disruptors include technology firms developing electrochemical ammonia production systems, which have the potential to lower liquid nitrogen fertilizer production costs while enhancing environmental sustainability. For instancee, the FertigHy consortium is planning low-carbon nitrogen fertilizer plants in Europe. Competitive dynamics favor companies that integrate regulatory compliance capabilities with technical innovation, particularly as increased scrutiny of Per- and polyfluoroalkyl substances (PFAS) impacts chelating agent formulations and transportation regulations influence distribution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Industry Leaders*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Sociedad Química y Minera de Chile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Indian Farmers Fertiliser Cooperative Limited (IFFCO)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Grupa Azoty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Nortox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Liquid Fertilizers Market Report ScopeLiquid fertilizer is a nutrient-rich, water-soluble, or liquid-concentrated plant food applied directly to soil or foliage for rapid absorption. It delivers essential nutrients such as nitrogen, phosphorus, potassium (NPK), and micronutrients, offering faster results, easier application through sprays or irrigation systems, and more precise dosing compared to granular fertilizers. The Liquid Fertilizers Market Report is Segmented by Type (Complex and Straight), by Application Mode (Fertigation and Foliar), by Crop Type (Field Crops, Horticultural Crops, and More), and by Geography (Asia-Pacific, Europe, North America, South America,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TypeComplex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Straight | By Nutrient | Micronutrients | </w:t>
      </w:r>
    </w:p>
    <w:p>
      <w:pPr/>
      <w:r>
        <w:rPr>
          <w:rFonts w:ascii="Helvetica Light" w:hAnsi="Helvetica Light" w:cs="Helvetica Light"/>
          <w:sz w:val="24"/>
          <w:sz-cs w:val="24"/>
        </w:rPr>
        <w:t xml:space="preserve"> | | Nitrogenous | </w:t>
      </w:r>
    </w:p>
    <w:p>
      <w:pPr/>
      <w:r>
        <w:rPr>
          <w:rFonts w:ascii="Helvetica Light" w:hAnsi="Helvetica Light" w:cs="Helvetica Light"/>
          <w:sz w:val="24"/>
          <w:sz-cs w:val="24"/>
        </w:rPr>
        <w:t xml:space="preserve"> | | Phosphatic | </w:t>
      </w:r>
    </w:p>
    <w:p>
      <w:pPr/>
      <w:r>
        <w:rPr>
          <w:rFonts w:ascii="Helvetica Light" w:hAnsi="Helvetica Light" w:cs="Helvetica Light"/>
          <w:sz w:val="24"/>
          <w:sz-cs w:val="24"/>
        </w:rPr>
        <w:t xml:space="preserve"> | | Potassic | </w:t>
      </w:r>
    </w:p>
    <w:p>
      <w:pPr/>
      <w:r>
        <w:rPr>
          <w:rFonts w:ascii="Helvetica Light" w:hAnsi="Helvetica Light" w:cs="Helvetica Light"/>
          <w:sz w:val="24"/>
          <w:sz-cs w:val="24"/>
        </w:rPr>
        <w:t xml:space="preserve"> | | Secondary Macronutrients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GeographyAsia-Pacific | Australia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Pakistan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Ukraine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the liquid fertilizers market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liquid fertilizers market was valued at USD 9.74 billion in 2025 and is projected to grow from USD 10.22 billion in 2026 to USD 13.69 billion by 2031, registering a CAGR of 6.0%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mode will record the fastest percentage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is projected to be the fastest-growing application segment, advancing at a CAGR of 7.3% during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record the fastest percentage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is projected to grow at an 8.1% CAGR during 2026–2031, driven by subsidy-backed pilot programs in Saudi Arabia.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regulatory hurdle ahead?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Tightening PFAS limits in the United States and Europe will force micronutrient formulators to adopt biodegradable chelates.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