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LNG Terminal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Natural Gas, LNG &amp;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https://www.mordorintelligence.com/industry-reports/global-lng-terminals-market-industry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LNG Terminal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2021 - 2031 | </w:t>
      </w:r>
    </w:p>
    <w:p>
      <w:pPr/>
      <w:r>
        <w:rPr>
          <w:rFonts w:ascii="Helvetica" w:hAnsi="Helvetica" w:cs="Helvetica"/>
          <w:sz w:val="24"/>
          <w:sz-cs w:val="24"/>
          <w:spacing w:val="0"/>
          <w:color w:val="000000"/>
        </w:rPr>
        <w:t xml:space="preserve">Market Size (2026) | USD 8.86 Billion | </w:t>
      </w:r>
    </w:p>
    <w:p>
      <w:pPr/>
      <w:r>
        <w:rPr>
          <w:rFonts w:ascii="Helvetica" w:hAnsi="Helvetica" w:cs="Helvetica"/>
          <w:sz w:val="24"/>
          <w:sz-cs w:val="24"/>
          <w:spacing w:val="0"/>
          <w:color w:val="000000"/>
        </w:rPr>
        <w:t xml:space="preserve">Market Size (2031) | USD 14.86 Billion | </w:t>
      </w:r>
    </w:p>
    <w:p>
      <w:pPr/>
      <w:r>
        <w:rPr>
          <w:rFonts w:ascii="Helvetica" w:hAnsi="Helvetica" w:cs="Helvetica"/>
          <w:sz w:val="24"/>
          <w:sz-cs w:val="24"/>
          <w:spacing w:val="0"/>
          <w:color w:val="000000"/>
        </w:rPr>
        <w:t xml:space="preserve">Growth Rate (2026 - 2031) | 10.91 % | </w:t>
      </w:r>
    </w:p>
    <w:p>
      <w:pPr/>
      <w:r>
        <w:rPr>
          <w:rFonts w:ascii="Helvetica" w:hAnsi="Helvetica" w:cs="Helvetica"/>
          <w:sz w:val="24"/>
          <w:sz-cs w:val="24"/>
          <w:spacing w:val="0"/>
          <w:color w:val="000000"/>
        </w:rPr>
        <w:t xml:space="preserve">Fastest Growing Market | Europe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LNG Terminal Market Analysis by Mordor IntelligenceThe LNG Terminal Market size was valued at USD 7.99 billion in 2025 and estimated to grow from USD 8.86 billion in 2026 to reach USD 14.86 billion by 2031, at a CAGR of 10.91%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Europeâ€™s accelerated infrastructure build-out to secure non-pipeline supplies and the Asia-Pacific regionâ€™s sustained demand are keeping final investment decisions brisk, establishing new hub capacity ahead of forecasted consumption.[1]Offshore Energy, â€œEuropeâ€™s LNG import build-out acceleratesâ€, offshore-energy.biz Floating storage and regasification units compress construction cycles to 1â€“2 years, cutting upfront capital and steering governments toward rapid-deployment models. Concurrent liquefaction megaprojects in the United States and Qatar are expanding export availability, reshaping long-term supply contracts, and narrowing regional price spreads. Investors also see growing optionality in modular bunkering hubs that cater to marine decarbonisation mandates while hedging exposure to volatile spot cargo pricing.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terminal type, onshore facilities led with 68.20% of the LNG terminals market share in 2025. Floating solutions are projected to expand at a 14.18% CAGR through 2031.</w:t>
      </w:r>
    </w:p>
    <w:p>
      <w:pPr/>
      <w:r>
        <w:rPr>
          <w:rFonts w:ascii="Helvetica" w:hAnsi="Helvetica" w:cs="Helvetica"/>
          <w:sz w:val="24"/>
          <w:sz-cs w:val="24"/>
          <w:spacing w:val="0"/>
          <w:color w:val="000000"/>
        </w:rPr>
        <w:t xml:space="preserve">* By service, liquefaction export terminals accounted for 59.60% share of the LNG terminals market size in 2025. Bunkering and small-scale hubs are forecast to grow at a 16.35% CAGR through 2031.</w:t>
      </w:r>
    </w:p>
    <w:p>
      <w:pPr/>
      <w:r>
        <w:rPr>
          <w:rFonts w:ascii="Helvetica" w:hAnsi="Helvetica" w:cs="Helvetica"/>
          <w:sz w:val="24"/>
          <w:sz-cs w:val="24"/>
          <w:spacing w:val="0"/>
          <w:color w:val="000000"/>
        </w:rPr>
        <w:t xml:space="preserve">* By capacity, terminals above 5 MMTPA represented a 56.90% share in 2025, while facilities below 2 MMTPA are expected to advance at a 15.42% CAGR through 2031.</w:t>
      </w:r>
    </w:p>
    <w:p>
      <w:pPr/>
      <w:r>
        <w:rPr>
          <w:rFonts w:ascii="Helvetica" w:hAnsi="Helvetica" w:cs="Helvetica"/>
          <w:sz w:val="24"/>
          <w:sz-cs w:val="24"/>
          <w:spacing w:val="0"/>
          <w:color w:val="000000"/>
        </w:rPr>
        <w:t xml:space="preserve">* By end-user sector, power generation captured a 43.50% share in 2025, whereas transportation and marine bunkering are projected to rise at a 14.95% CAGR through 2031.</w:t>
      </w:r>
    </w:p>
    <w:p>
      <w:pPr/>
      <w:r>
        <w:rPr>
          <w:rFonts w:ascii="Helvetica" w:hAnsi="Helvetica" w:cs="Helvetica"/>
          <w:sz w:val="24"/>
          <w:sz-cs w:val="24"/>
          <w:spacing w:val="0"/>
          <w:color w:val="000000"/>
        </w:rPr>
        <w:t xml:space="preserve">* By geography, the Asia-Pacific region held a 48.10% share in 2025, and Europe is projected to register the highest CAGR at 12.85%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LNG Terminal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European energy-security driven terminal additions | +2.1% | Europe, spillover to North America | Short term (â‰¤ 2 years) | </w:t>
      </w:r>
    </w:p>
    <w:p>
      <w:pPr/>
      <w:r>
        <w:rPr>
          <w:rFonts w:ascii="Helvetica" w:hAnsi="Helvetica" w:cs="Helvetica"/>
          <w:sz w:val="24"/>
          <w:sz-cs w:val="24"/>
          <w:spacing w:val="0"/>
          <w:color w:val="000000"/>
        </w:rPr>
        <w:t xml:space="preserve">Rapid uptake of FSRU solutions for near-term regas capacity | +1.9% | Global, concentrated in Europe and Asia-Pacific | Medium term (2-4 years) | </w:t>
      </w:r>
    </w:p>
    <w:p>
      <w:pPr/>
      <w:r>
        <w:rPr>
          <w:rFonts w:ascii="Helvetica" w:hAnsi="Helvetica" w:cs="Helvetica"/>
          <w:sz w:val="24"/>
          <w:sz-cs w:val="24"/>
          <w:spacing w:val="0"/>
          <w:color w:val="000000"/>
        </w:rPr>
        <w:t xml:space="preserve">US and Qatari liquefaction wave expanding global supply | +1.8% | Global, North America and Middle East | Long term (â‰¥ 4 years) | </w:t>
      </w:r>
    </w:p>
    <w:p>
      <w:pPr/>
      <w:r>
        <w:rPr>
          <w:rFonts w:ascii="Helvetica" w:hAnsi="Helvetica" w:cs="Helvetica"/>
          <w:sz w:val="24"/>
          <w:sz-cs w:val="24"/>
          <w:spacing w:val="0"/>
          <w:color w:val="000000"/>
        </w:rPr>
        <w:t xml:space="preserve">Modular micro-LNG hubs unlocking underserved coastal demand | +1.4% | Asia-Pacific core, spillover to Latin America and Africa | Medium term (2-4 years) | </w:t>
      </w:r>
    </w:p>
    <w:p>
      <w:pPr/>
      <w:r>
        <w:rPr>
          <w:rFonts w:ascii="Helvetica" w:hAnsi="Helvetica" w:cs="Helvetica"/>
          <w:sz w:val="24"/>
          <w:sz-cs w:val="24"/>
          <w:spacing w:val="0"/>
          <w:color w:val="000000"/>
        </w:rPr>
        <w:t xml:space="preserve">Carbon-neutral LNG certification premiums attracting investment | +1.1% | Global, with early adoption in Europe and North America | Long term (â‰¥ 4 years) | </w:t>
      </w:r>
    </w:p>
    <w:p>
      <w:pPr/>
      <w:r>
        <w:rPr>
          <w:rFonts w:ascii="Helvetica" w:hAnsi="Helvetica" w:cs="Helvetica"/>
          <w:sz w:val="24"/>
          <w:sz-cs w:val="24"/>
          <w:spacing w:val="0"/>
          <w:color w:val="000000"/>
        </w:rPr>
        <w:t xml:space="preserve">Hydrogen-ready designs boosting brownfield expansion viability | +1.0% | Europe and Asia-Pacific, with selective North America adoption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Surge in European Energy-Security Driven Terminal Additions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redirected its natural gas strategy after the Ukraine conflict, and governments financed multiple LNG facilities to safeguard supply continuity. Germany deployed 5 floating storage and regasification units within 18 months, while the Netherlands integrated carbon capture at the EemsEnergy hub, demonstrating a multi-energy design that supports hydrogen readiness. Poland lifted ÅšwinoujÅ›cie capacity to 8.3 billion mÂ³, creating regional trading slack that alters pipeline flows. Southern Europe followed with parallel projects in Italy and Greece, raising aggregate European import capability beyond short-term demand. Structural overcapacity positions the continent to re-export surplus cargoes, shaping new arbitrage routes for the LNG terminals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Uptake of FSRU Solutions for Near-Term Regas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Floating storage and regasification units shorten construction to 1-2 years and average USD 330 million, compared with USD 1 billion for equivalent onshore plants. More than 50 operational units confirm commercial maturity, enabling states such as Estonia to secure energy while permanent sites are being built. Singapore adopted a second LNG berth with a floating design to bypass land scarcity, while LNG Canada integrated digital twins that track real-time thermodynamics across hull systems. Enhanced cryogenic COâ‚‚ capture modules further reduce lifecycle emissions, driving investor preference for floating assets that now serve as enduring fixtures rather than stop-gaps. These advances propel the LNG terminals market toward faster project payback and broader geographic reach.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US and Qatari Liquefaction Wave Expanding Global Supply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Qatarâ€™s North Field expansion adds 49 million tons annual nameplate by 2030, lifting national capacity to 142 MTPA. In parallel, the United States accelerates the development of new trains: Cheniere achieved its first LNG from Corpus Christi Stage 3 in December 2024, and Venture Global reached initial cargo at Plaquemines the same month. Modular construction at New Fortress Energyâ€™s Fast LNG delivered production on a compressed timeline, validating an assembly-line approach that trims capital hours. Surplus volumes are contracted on hybrid indices that temper buyer exposure to spot volatility, expanding the buyer pool for the LNG terminals market. Increased ship-to-ship trade narrows regional price gaps and heightens utilisation prospects for destination terminals worldwide.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Modular Micro-LNG Hubs Unlocking Underserved Coastal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Terminals below 2 MMTPA are projected to grow at a 15.7% CAGR to 2030, supported by factory-built modules sized for remote harbors. Brazilâ€™s TAG-Eneva link transports 14 million mÂ³ of gas daily through private pipeline infrastructure, opening up new fuel options for northern industrial clusters. Vietnam commissioned the Cai Mep terminal under the same model, proving viability in emerging markets with limited capital bandwidth. Marine bunkering is the key pull factor; Sohar Port invested USD 1.6 billion in LNG refuelling to serve ocean traffic on the east-west corridor. Low unit cost and incremental scalability encourage stakeholders to deploy micro hubs that collectively reshape regional flows in the LNG terminals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capex and opex intensity of large-scale LNG terminals | -1.7% | Global, heavier on developing markets | Long term (â‰¥ 4 years) | </w:t>
      </w:r>
    </w:p>
    <w:p>
      <w:pPr/>
      <w:r>
        <w:rPr>
          <w:rFonts w:ascii="Helvetica" w:hAnsi="Helvetica" w:cs="Helvetica"/>
          <w:sz w:val="24"/>
          <w:sz-cs w:val="24"/>
          <w:spacing w:val="0"/>
          <w:color w:val="000000"/>
        </w:rPr>
        <w:t xml:space="preserve">Volatile spot LNG prices depressing terminal utilisation | -1.5% | Global, acute in Asia-Pacific and Europe | Short term (â‰¤ 2 years) | </w:t>
      </w:r>
    </w:p>
    <w:p>
      <w:pPr/>
      <w:r>
        <w:rPr>
          <w:rFonts w:ascii="Helvetica" w:hAnsi="Helvetica" w:cs="Helvetica"/>
          <w:sz w:val="24"/>
          <w:sz-cs w:val="24"/>
          <w:spacing w:val="0"/>
          <w:color w:val="000000"/>
        </w:rPr>
        <w:t xml:space="preserve">Methane-emission scrutiny delaying project approvals | -0.9% | North America and Europe, expanding to Asia-Pacific | Medium term (2-4 years) | </w:t>
      </w:r>
    </w:p>
    <w:p>
      <w:pPr/>
      <w:r>
        <w:rPr>
          <w:rFonts w:ascii="Helvetica" w:hAnsi="Helvetica" w:cs="Helvetica"/>
          <w:sz w:val="24"/>
          <w:sz-cs w:val="24"/>
          <w:spacing w:val="0"/>
          <w:color w:val="000000"/>
        </w:rPr>
        <w:t xml:space="preserve">Pipeline reversals &amp; biomethane blending eroding LNG demand | -0.8% | Europe and North America, limited Asia-Pacific impact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Capex and Opex Intensity of Large-Scale LNG Terminals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Greenfield export facilities demand USD 1â€“3 billion and yearly operating budgets beyond USD 100 million, stretching balance sheets even for integrated majors. Carrier newbuilds climbed to USD 269 million for 174 000 mÂ³ hulls, tacking shipping premiums onto delivered gas costs.[2]VesselsLink, â€œLNG carrier newbuild price surveyâ€, vesselslink.com Inflation in steel and skilled labour erodes margins, forcing US developers to renegotiate engineering procurement contracts. South Koreaâ€™s KOMIPO cancelled a planned import quay, citing capital stress and weaker demand projections, underscoring financing risk for the LNG terminals industry. Developing economies face heightened currency-translation risk, which amplifies the debt service load, curbing final investment decisions even when demand fundamentals remain strong.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Volatile Spot LNG Prices Depressing Terminal Utilisation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Large capacity additions coincide with a buyerâ€™s market from 2024 to 2028, pushing utilisation rates below bankability thresholds at new European import jetties. Henry Hub futures signal wider amplitude swings once US supply peaks in 2026, complicating cash-flow modelling for terminal operators tied to tolling fees.[3]Natural Gas Intelligence, â€œUS Henry Hub price outlookâ€, naturalgasintelligence.com Venture Globalâ€™s lower-than-expected liquefaction revenues illustrate how contractual flex keeps offtakers nimble during weak cycles. Developers diversify with storage and trans-shipment services, yet ancillary earnings rarely bridge the shortfall from under-loaded send-out arms. Persistent volatility, therefore, caps throughput recovery and dampens the growth slope of the LNG terminals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Terminal Type: Floating Solutions Drive Innovation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Floating terminals delivered a 14.18% CAGR through 2031, while onshore plants retained 68.20% of the LNG terminal market share in 2025. The LNG terminals market size for floating assets is projected to increase by USD 2.74 billion between 2026 and 2031, reflecting the advantages of quick mobilization. Construction windows of 24 months underpin national security agendas in the Baltic and Mediterranean. Golarâ€™s 2008 FSRU conversion and 2018 FLNG refit validated seaworthy liquefaction and regasification at commercial scale. Digital twin analytics now track boil-off gas and pump cycling, raising uptime above 98%. Onshore counterparts still dominate volume corridors from the US Gulf Coast and Qatar, due to their higher nameplate capacities and direct pipe tie-ins. Yet policymakers prefer floating starter capacity that later migrates to petrochemical or hydrogen service, sustaining demand for novel hull orders within the LNG terminal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Estoniaâ€™s Paldiski case highlights a dual-track deployment approach; a chartered FSRU secures immediate imports while civil works progress for land-based tanks. Similar blueprints in the Philippines and Colombia showcase floating-to-shore migration pathways. Competitive tendering tilts toward turnkey leasing, allowing treasury-light entry into gas monetisation. Consequently, vessel owners and yards that master modular topsides and low-pressure reliquefaction gain advantage as floating uptake spreads deeper into Asia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Service: Export Dominance Faces Bunkering Disruption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Liquefaction plants retained a 59.60% share of the LNG terminals market size in 2025, supported by US and Qatari mega-projects. Train additions across Louisiana, Texas, and Ras Laffan push aggregate export availability beyond 200 MTPA by 2030, strengthening demand for LNG liquefaction terminals. Portfolio players secure long-term tenure agreements that lock in tolling cash flows. Conversely, bunkering and small-scale hubs are expected to widen at a 16.35% CAGR as the IMOâ€™s sulfur cap and carbon index steer fleets toward LNG propulsion. Soharâ€™s USD 1.6 billion facility targets container lines on the Strait of Hormuz, and Singapore prepares a second jetty optimised for fueled barges.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Regasification remains relevant where consumption outpaces domestic supply, notably in China, where 39 projects are currently under construction. Service stratification, therefore, reflects energy transition vectors: exporters monetize stranded gas, importers diversify their procurement, and bunkering nodes feed maritime decarbonization. Integrated developers that co-locate these modes will capture synergies and defend margins in an increasingly competitive LNG terminal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Capacity Range: Scale Economics Versus Modular Flexibility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Terminals above 5 MMTPA held a 56.90% share in 2025, leveraging throughput economies across the US Gulf and the Australian north coast. The LNG terminals market share for this bracket aligns with traditional commodity corridors, which demand low unit liquefaction costs. Mid-scale 2-5 MMTPA projects supply regional pipes in Europe, offering price arbitrage thanks to pipeline interconnectivity. Below 2 MMTPA, growth reaches a 15.42% CAGR as prefab skids reduce erection times. Vietnamâ€™s Cai Mep and Brazilâ€™s Barcarena clusters demonstrate that sub-5 MMTPA can deliver grid resilience without requiring heavy sovereign guarantees.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ABBâ€™s control systems at Texas LNG demonstrate how automation reduces opex for small trains and increases availability to above 96%. Scalable battery storage integration further lowers spinning reserve demand and curbs flaring. As distributed renewables spread, planners use micro-LNG to back up intermittent solar, thereby maintaining high aggregate utilization across the LNG terminals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Sector: Power Generation Leadership Faces Marine Challenge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Power producers commanded a 43.50% market share of the LNG terminals in 2025, as gas-fired turbines balanced variable wind and solar fleets. The LNG terminals market size for power use is forecast to post a 5.82% CAGR, driven by the retirement of coal-fired power plants in South and Southeast Asia. Industrial demand follows as steel and chemicals operators pivot from fuel oil to gas for COâ‚‚ compliance in export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Marine bunkering, however, charts a 14.95% CAGR, propelled by dual-fuel container ships on Asia-Europe lanes. Honeywellâ€™s tie-up with Argent LNG in Louisiana aims to co-serve ocean vessels and trucking corridors, blending retail and wholesale offtake. By spanning end-user classes, multi-service sites smooth throughput swings and enhance debt service coverage ratios -a strategy increasingly favored across the LNG terminals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Asia-Pacific region retained a 48.10% share of the LNG terminals market in 2025, underpinned by Chinaâ€™s 29 active docks and 39 additions that will significantly increase regas capacity to well past 200 MTPA. India doubles Ennore to 10 MTPA and accelerates east-coast pipe links that extend LNG penetration inland. Japan scales trading desks to 5 MTPA by 2030, reinforcing its role as a liquidity hub, while Singapore builds a second berth to recycle cargoes in the Straits. These projects maintain regional send-out stability even as renewables increase, preserving a baseload role for imported gas across the LNG terminals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is projected to post the fastest 12.85% CAGR to 2031, following a pivot from pipeline supply. Germanyâ€™s 5 FSRU fleet raises short-term gate capacity to 25 billion mÂ³. Stadeâ€™s hydrogen-ready design, combined with CCS integration, signals a future-proof approach that attracts low-carbon investors. Poland and the Netherlands add carbon-capture modules that may slash Scope 1 emissions, reshaping sustainability benchmarks. Franceâ€™s Dunkerque, at 13 billion mÂ³, bridges French and Belgian grids, highlighting cross-border optimisation inside the LNG terminals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remains supply-centric, as Calcasieu Pass, Plaquemines, and CP2 push the US export plateau toward 190 MTPA. Brazil pioneers private pipe links with TAG-Eneva, while ADNOC advances Ruwais to 9.6 MTPA in the UAE, and Vopak leads South Africaâ€™s Richards Bay import quay. These diverse projects demonstrate tailored architectures that cater to local policy, financing, and demand drivers.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Regulation in the LNG terminals market continues to tighten around export authorization, environmental review, and emissions disclosure, with more explicit process steps in key jurisdictions. In the United States, the Federal Energy Regulatory Commission (FERC) and the US Department of Energy (DOE) remain central for terminal siting and LNG export approvals. The pace of LNG export application review was reinforced by Executive Order 14154 (January 2025), which directed DOE to restart and expedite reviews with emphasis on economic and allied security considerations. Project-level oversight is also visible through FERC environmental review actions and operating authorizations, including April 2026 actions tied to LNG export and terminal expansion pathways.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compliance requirements are being reshaped by the EU Gas Decarbonization Package (Directive (EU) 2024/1788 and Regulation (EU) 2024/1789), which introduced new methane monitoring and reporting obligations affecting LNG facilities. EU market design is also pushing capacity transparency and tradability, including a February 2026 deadline for LNG terminal operators to implement transparent, non-discriminatory capacity booking platforms that support secondary market trading. In India, the Petroleum and Natural Gas Regulatory Board (PNGRB) issued the Regulations for Establishing and Operating Liquefied Natural Gas Terminals, 2024 (May 2024), which set commissioning requirements and introduced a performance bond framework (Rs 25 crore), tightening execution discipline for new terminals.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LNG terminals market exhibits moderate fragmentation, with the five largest operators controlling roughly 55% of the cumulative throughput capacity, placing market concentration at a mid-range level. Legacy majors, such as Shell, QatarEnergy, and Cheniere, leverage integrated trading desks and long-term SPAs to secure volumes. Venture Globalâ€™s IPO in January 2025 and a BBB- rating upgrade for Calcasieu Pass signal capital-market appetite for independent growth stories.[5]CNBC, â€œVenture Global IPO detailsâ€, cnbc.com FSRU owners, such as HÃ¶egh and Excelerate, capture rent on accelerated European deployments, challenging fixed-site developers.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is a differentiator. LNG Canadaâ€™s digital-twin environment predicts pump wear and optimises compressor loads, while ABBâ€™s automation at Texas LNG applies model predictive control to minimise flaring. Strategic moves include Honeywellâ€™s collaboration with Argent LNG to embed carbon capture readiness in Louisiana and Kongsbergâ€™s rollout of integrated asset-performance suites on floating units. Players focusing on micro-terminal rollouts in Southeast Asia gain first-mover advantage in emerging coastal demand pockets, reinforcing the LNG terminals marketâ€™s competitive churn.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pressure tightens approval windows yet simultaneously fast-tracks energy-security projects in Europe and India. Companies that align their Environmental Social Governance (ESG) reporting with the new EU taxonomy rules can capture concessional finance, a factor that tilts their competitive positioning. Overall, accelerated permitting, digital optimization, and flexible business models shape the intensity of rivalry across the LNG terminals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LNG Terminal Industry Leaders* Cheniere Energy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QatarEnergy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CNOOC Gas &amp; Power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Shell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Tokyo Gas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Export-side project sanctions and floating concepts are widening the investable pipeline for terminals, especially where brownfield expansions, modular execution, and phased financing reduce delivery risk. In the United States, 2026 FIDs and financings provided proof points for multi-year construction backlogs on the Gulf Coast: Venture Global announced FID and USD 8.6 billion project financing for Phase 2 of CP2 LNG (March 2026), and Caturus announced FID and USD 9.75 billion financing for the 9.5 MTPA Commonwealth LNG project in Cameron Parish, Louisiana (May 2026). Delfin Midstream also announced FID for the first FLNG vessel of its Delfin LNG project (June 2026), reinforcing floating liquefaction as a route to incremental export capacity and additional offtake structures that can link to downstream regasification and bunkering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importing and hub side, regulatory and market design changes are creating room for services beyond basic send-out, particularly in Europe where capacity access rules and methane compliance raise the value of transparent scheduling, boil-off management, and emissions reporting. At the same time, global scale supports multi-service terminal concepts. By end-2025, global liquefaction capacity was reported at 524.5 MTPA and regasification capacity at 1,113.5 MTPA, supporting a larger addressable base for optimization services such as storage, transshipment, and small-scale break-bulk loading. Within Asia-Pacific, large storage expansions and new docks expand opportunities for operators and EPCs that can standardize ultra-large containment, digital operations, and safety systems across clusters serving power, city-gas, and marine bunkering demand.</w:t>
      </w:r>
    </w:p>
    <w:p>
      <w:pPr/>
      <w:r>
        <w:rPr>
          <w:rFonts w:ascii="Helvetica" w:hAnsi="Helvetica" w:cs="Helvetica"/>
          <w:sz w:val="24"/>
          <w:sz-cs w:val="24"/>
          <w:spacing w:val="0"/>
          <w:color w:val="000000"/>
        </w:rPr>
        <w:t xml:space="preserve">Recent Industry Developments* May 2026: Cheniere Partners signed a lump-sum, turnkey EPC contract with Bechtel Energy for Phase 1 of the Sabine Pass Expansion Project and issued a limited notice to proceed for early engineering and procurement. The contract structure and early works point to schedule compression at an established export complex, supporting incremental liquefaction capacity delivery through brownfield execution.</w:t>
      </w:r>
    </w:p>
    <w:p>
      <w:pPr/>
      <w:r>
        <w:rPr>
          <w:rFonts w:ascii="Helvetica" w:hAnsi="Helvetica" w:cs="Helvetica"/>
          <w:sz w:val="24"/>
          <w:sz-cs w:val="24"/>
          <w:spacing w:val="0"/>
          <w:color w:val="000000"/>
        </w:rPr>
        <w:t xml:space="preserve">* July 2025: S&amp;P Global upgraded Venture Global's Calcasieu Pass export facility to BBB- following commercial start-up and refinancing of USD 4.75 billion notes. The credit action improved funding flexibility for independent developers and reinforced the role of capital markets in scaling LNG terminal build-outs.</w:t>
      </w:r>
    </w:p>
    <w:p>
      <w:pPr/>
      <w:r>
        <w:rPr>
          <w:rFonts w:ascii="Helvetica" w:hAnsi="Helvetica" w:cs="Helvetica"/>
          <w:sz w:val="24"/>
          <w:sz-cs w:val="24"/>
          <w:spacing w:val="0"/>
          <w:color w:val="000000"/>
        </w:rPr>
        <w:t xml:space="preserve">* December 2024: Venture Global's Plaquemines LNG dispatched its maiden LNG cargo, marking the company's second operational plant, with the shipment loaded onto the Venture Global Bayou and sent to EnBW in Germany. The first-cargo milestone expanded available US export volumes and strengthened transatlantic supply linkages that feed European regasification utilization.</w:t>
      </w:r>
    </w:p>
    <w:p>
      <w:pPr/>
      <w:r>
        <w:rPr>
          <w:rFonts w:ascii="Helvetica" w:hAnsi="Helvetica" w:cs="Helvetica"/>
          <w:sz w:val="24"/>
          <w:sz-cs w:val="24"/>
          <w:spacing w:val="0"/>
          <w:color w:val="000000"/>
        </w:rPr>
        <w:t xml:space="preserve">Table of Contents for LNG Terminal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Surge in European energy-security driven terminal additions</w:t>
      </w:r>
    </w:p>
    <w:p>
      <w:pPr/>
      <w:r>
        <w:rPr>
          <w:rFonts w:ascii="Helvetica" w:hAnsi="Helvetica" w:cs="Helvetica"/>
          <w:sz w:val="24"/>
          <w:sz-cs w:val="24"/>
          <w:spacing w:val="0"/>
          <w:color w:val="000000"/>
        </w:rPr>
        <w:t xml:space="preserve">* 4.2.2 Rapid uptake of FSRU solutions for near-term regas capacity</w:t>
      </w:r>
    </w:p>
    <w:p>
      <w:pPr/>
      <w:r>
        <w:rPr>
          <w:rFonts w:ascii="Helvetica" w:hAnsi="Helvetica" w:cs="Helvetica"/>
          <w:sz w:val="24"/>
          <w:sz-cs w:val="24"/>
          <w:spacing w:val="0"/>
          <w:color w:val="000000"/>
        </w:rPr>
        <w:t xml:space="preserve">* 4.2.3 US &amp; Qatari liquefaction wave expanding global supply</w:t>
      </w:r>
    </w:p>
    <w:p>
      <w:pPr/>
      <w:r>
        <w:rPr>
          <w:rFonts w:ascii="Helvetica" w:hAnsi="Helvetica" w:cs="Helvetica"/>
          <w:sz w:val="24"/>
          <w:sz-cs w:val="24"/>
          <w:spacing w:val="0"/>
          <w:color w:val="000000"/>
        </w:rPr>
        <w:t xml:space="preserve">* 4.2.4 Modular micro-LNG hubs unlocking underserved coastal demand</w:t>
      </w:r>
    </w:p>
    <w:p>
      <w:pPr/>
      <w:r>
        <w:rPr>
          <w:rFonts w:ascii="Helvetica" w:hAnsi="Helvetica" w:cs="Helvetica"/>
          <w:sz w:val="24"/>
          <w:sz-cs w:val="24"/>
          <w:spacing w:val="0"/>
          <w:color w:val="000000"/>
        </w:rPr>
        <w:t xml:space="preserve">* 4.2.5 Carbon-neutral LNG certification premiums attracting investment</w:t>
      </w:r>
    </w:p>
    <w:p>
      <w:pPr/>
      <w:r>
        <w:rPr>
          <w:rFonts w:ascii="Helvetica" w:hAnsi="Helvetica" w:cs="Helvetica"/>
          <w:sz w:val="24"/>
          <w:sz-cs w:val="24"/>
          <w:spacing w:val="0"/>
          <w:color w:val="000000"/>
        </w:rPr>
        <w:t xml:space="preserve">* 4.2.6 Hydrogen-ready designs boosting brownfield expansion viability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capex &amp; opex intensity of large-scale LNG terminals</w:t>
      </w:r>
    </w:p>
    <w:p>
      <w:pPr/>
      <w:r>
        <w:rPr>
          <w:rFonts w:ascii="Helvetica" w:hAnsi="Helvetica" w:cs="Helvetica"/>
          <w:sz w:val="24"/>
          <w:sz-cs w:val="24"/>
          <w:spacing w:val="0"/>
          <w:color w:val="000000"/>
        </w:rPr>
        <w:t xml:space="preserve">* 4.3.2 Volatile spot LNG prices depressing terminal utilisation</w:t>
      </w:r>
    </w:p>
    <w:p>
      <w:pPr/>
      <w:r>
        <w:rPr>
          <w:rFonts w:ascii="Helvetica" w:hAnsi="Helvetica" w:cs="Helvetica"/>
          <w:sz w:val="24"/>
          <w:sz-cs w:val="24"/>
          <w:spacing w:val="0"/>
          <w:color w:val="000000"/>
        </w:rPr>
        <w:t xml:space="preserve">* 4.3.3 Methane-emission scrutiny delaying project approvals</w:t>
      </w:r>
    </w:p>
    <w:p>
      <w:pPr/>
      <w:r>
        <w:rPr>
          <w:rFonts w:ascii="Helvetica" w:hAnsi="Helvetica" w:cs="Helvetica"/>
          <w:sz w:val="24"/>
          <w:sz-cs w:val="24"/>
          <w:spacing w:val="0"/>
          <w:color w:val="000000"/>
        </w:rPr>
        <w:t xml:space="preserve">* 4.3.4 Pipeline reversals &amp; biomethane blending eroding LNG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 (FLNG, FSRU &amp; modularisation)</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Consumers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Terminal Type* 5.1.1 Onshore</w:t>
      </w:r>
    </w:p>
    <w:p>
      <w:pPr/>
      <w:r>
        <w:rPr>
          <w:rFonts w:ascii="Helvetica" w:hAnsi="Helvetica" w:cs="Helvetica"/>
          <w:sz w:val="24"/>
          <w:sz-cs w:val="24"/>
          <w:spacing w:val="0"/>
          <w:color w:val="000000"/>
        </w:rPr>
        <w:t xml:space="preserve">* 5.1.2 Floating (FSRU/FLNG)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Service* 5.2.1 Liquefaction (Export)</w:t>
      </w:r>
    </w:p>
    <w:p>
      <w:pPr/>
      <w:r>
        <w:rPr>
          <w:rFonts w:ascii="Helvetica" w:hAnsi="Helvetica" w:cs="Helvetica"/>
          <w:sz w:val="24"/>
          <w:sz-cs w:val="24"/>
          <w:spacing w:val="0"/>
          <w:color w:val="000000"/>
        </w:rPr>
        <w:t xml:space="preserve">* 5.2.2 Regasification (Import)</w:t>
      </w:r>
    </w:p>
    <w:p>
      <w:pPr/>
      <w:r>
        <w:rPr>
          <w:rFonts w:ascii="Helvetica" w:hAnsi="Helvetica" w:cs="Helvetica"/>
          <w:sz w:val="24"/>
          <w:sz-cs w:val="24"/>
          <w:spacing w:val="0"/>
          <w:color w:val="000000"/>
        </w:rPr>
        <w:t xml:space="preserve">* 5.2.3 Bunkering and Small-scale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Capacity Range* 5.3.1 Below 2 MMTPA</w:t>
      </w:r>
    </w:p>
    <w:p>
      <w:pPr/>
      <w:r>
        <w:rPr>
          <w:rFonts w:ascii="Helvetica" w:hAnsi="Helvetica" w:cs="Helvetica"/>
          <w:sz w:val="24"/>
          <w:sz-cs w:val="24"/>
          <w:spacing w:val="0"/>
          <w:color w:val="000000"/>
        </w:rPr>
        <w:t xml:space="preserve">* 5.3.2 2 to 5 MMTPA</w:t>
      </w:r>
    </w:p>
    <w:p>
      <w:pPr/>
      <w:r>
        <w:rPr>
          <w:rFonts w:ascii="Helvetica" w:hAnsi="Helvetica" w:cs="Helvetica"/>
          <w:sz w:val="24"/>
          <w:sz-cs w:val="24"/>
          <w:spacing w:val="0"/>
          <w:color w:val="000000"/>
        </w:rPr>
        <w:t xml:space="preserve">* 5.3.3 Above 5 MMTPA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Sector* 5.4.1 Power Generation</w:t>
      </w:r>
    </w:p>
    <w:p>
      <w:pPr/>
      <w:r>
        <w:rPr>
          <w:rFonts w:ascii="Helvetica" w:hAnsi="Helvetica" w:cs="Helvetica"/>
          <w:sz w:val="24"/>
          <w:sz-cs w:val="24"/>
          <w:spacing w:val="0"/>
          <w:color w:val="000000"/>
        </w:rPr>
        <w:t xml:space="preserve">* 5.4.2 Industrial and Manufacturing</w:t>
      </w:r>
    </w:p>
    <w:p>
      <w:pPr/>
      <w:r>
        <w:rPr>
          <w:rFonts w:ascii="Helvetica" w:hAnsi="Helvetica" w:cs="Helvetica"/>
          <w:sz w:val="24"/>
          <w:sz-cs w:val="24"/>
          <w:spacing w:val="0"/>
          <w:color w:val="000000"/>
        </w:rPr>
        <w:t xml:space="preserve">* 5.4.3 Transportation and Marine Bunkering</w:t>
      </w:r>
    </w:p>
    <w:p>
      <w:pPr/>
      <w:r>
        <w:rPr>
          <w:rFonts w:ascii="Helvetica" w:hAnsi="Helvetica" w:cs="Helvetica"/>
          <w:sz w:val="24"/>
          <w:sz-cs w:val="24"/>
          <w:spacing w:val="0"/>
          <w:color w:val="000000"/>
        </w:rPr>
        <w:t xml:space="preserve">* 5.4.4 City-Gas and Residential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NORDIC Countries</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ASEAN Countries</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Qatar</w:t>
      </w:r>
    </w:p>
    <w:p>
      <w:pPr/>
      <w:r>
        <w:rPr>
          <w:rFonts w:ascii="Helvetica" w:hAnsi="Helvetica" w:cs="Helvetica"/>
          <w:sz w:val="24"/>
          <w:sz-cs w:val="24"/>
          <w:spacing w:val="0"/>
          <w:color w:val="000000"/>
        </w:rPr>
        <w:t xml:space="preserve">* 5.5.5.4 South Africa</w:t>
      </w:r>
    </w:p>
    <w:p>
      <w:pPr/>
      <w:r>
        <w:rPr>
          <w:rFonts w:ascii="Helvetica" w:hAnsi="Helvetica" w:cs="Helvetica"/>
          <w:sz w:val="24"/>
          <w:sz-cs w:val="24"/>
          <w:spacing w:val="0"/>
          <w:color w:val="000000"/>
        </w:rPr>
        <w:t xml:space="preserve">* 5.5.5.5 Nigeria</w:t>
      </w:r>
    </w:p>
    <w:p>
      <w:pPr/>
      <w:r>
        <w:rPr>
          <w:rFonts w:ascii="Helvetica" w:hAnsi="Helvetica" w:cs="Helvetica"/>
          <w:sz w:val="24"/>
          <w:sz-cs w:val="24"/>
          <w:spacing w:val="0"/>
          <w:color w:val="000000"/>
        </w:rPr>
        <w:t xml:space="preserve">* 5.5.5.6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Cheniere Energy Inc.</w:t>
      </w:r>
    </w:p>
    <w:p>
      <w:pPr/>
      <w:r>
        <w:rPr>
          <w:rFonts w:ascii="Helvetica" w:hAnsi="Helvetica" w:cs="Helvetica"/>
          <w:sz w:val="24"/>
          <w:sz-cs w:val="24"/>
          <w:spacing w:val="0"/>
          <w:color w:val="000000"/>
        </w:rPr>
        <w:t xml:space="preserve">* 6.4.2 QatarEnergy (incl. Qatargas)</w:t>
      </w:r>
    </w:p>
    <w:p>
      <w:pPr/>
      <w:r>
        <w:rPr>
          <w:rFonts w:ascii="Helvetica" w:hAnsi="Helvetica" w:cs="Helvetica"/>
          <w:sz w:val="24"/>
          <w:sz-cs w:val="24"/>
          <w:spacing w:val="0"/>
          <w:color w:val="000000"/>
        </w:rPr>
        <w:t xml:space="preserve">* 6.4.3 Royal Dutch Shell plc</w:t>
      </w:r>
    </w:p>
    <w:p>
      <w:pPr/>
      <w:r>
        <w:rPr>
          <w:rFonts w:ascii="Helvetica" w:hAnsi="Helvetica" w:cs="Helvetica"/>
          <w:sz w:val="24"/>
          <w:sz-cs w:val="24"/>
          <w:spacing w:val="0"/>
          <w:color w:val="000000"/>
        </w:rPr>
        <w:t xml:space="preserve">* 6.4.4 CNOOC Gas &amp; Power</w:t>
      </w:r>
    </w:p>
    <w:p>
      <w:pPr/>
      <w:r>
        <w:rPr>
          <w:rFonts w:ascii="Helvetica" w:hAnsi="Helvetica" w:cs="Helvetica"/>
          <w:sz w:val="24"/>
          <w:sz-cs w:val="24"/>
          <w:spacing w:val="0"/>
          <w:color w:val="000000"/>
        </w:rPr>
        <w:t xml:space="preserve">* 6.4.5 Tokyo Gas Co., Ltd.</w:t>
      </w:r>
    </w:p>
    <w:p>
      <w:pPr/>
      <w:r>
        <w:rPr>
          <w:rFonts w:ascii="Helvetica" w:hAnsi="Helvetica" w:cs="Helvetica"/>
          <w:sz w:val="24"/>
          <w:sz-cs w:val="24"/>
          <w:spacing w:val="0"/>
          <w:color w:val="000000"/>
        </w:rPr>
        <w:t xml:space="preserve">* 6.4.6 Korea Gas Corporation (KOGAS)</w:t>
      </w:r>
    </w:p>
    <w:p>
      <w:pPr/>
      <w:r>
        <w:rPr>
          <w:rFonts w:ascii="Helvetica" w:hAnsi="Helvetica" w:cs="Helvetica"/>
          <w:sz w:val="24"/>
          <w:sz-cs w:val="24"/>
          <w:spacing w:val="0"/>
          <w:color w:val="000000"/>
        </w:rPr>
        <w:t xml:space="preserve">* 6.4.7 TotalEnergies SE</w:t>
      </w:r>
    </w:p>
    <w:p>
      <w:pPr/>
      <w:r>
        <w:rPr>
          <w:rFonts w:ascii="Helvetica" w:hAnsi="Helvetica" w:cs="Helvetica"/>
          <w:sz w:val="24"/>
          <w:sz-cs w:val="24"/>
          <w:spacing w:val="0"/>
          <w:color w:val="000000"/>
        </w:rPr>
        <w:t xml:space="preserve">* 6.4.8 Petronet LNG Ltd.</w:t>
      </w:r>
    </w:p>
    <w:p>
      <w:pPr/>
      <w:r>
        <w:rPr>
          <w:rFonts w:ascii="Helvetica" w:hAnsi="Helvetica" w:cs="Helvetica"/>
          <w:sz w:val="24"/>
          <w:sz-cs w:val="24"/>
          <w:spacing w:val="0"/>
          <w:color w:val="000000"/>
        </w:rPr>
        <w:t xml:space="preserve">* 6.4.9 Egyptian Natural Gas Holding Co. (EGAS)</w:t>
      </w:r>
    </w:p>
    <w:p>
      <w:pPr/>
      <w:r>
        <w:rPr>
          <w:rFonts w:ascii="Helvetica" w:hAnsi="Helvetica" w:cs="Helvetica"/>
          <w:sz w:val="24"/>
          <w:sz-cs w:val="24"/>
          <w:spacing w:val="0"/>
          <w:color w:val="000000"/>
        </w:rPr>
        <w:t xml:space="preserve">* 6.4.10 Toho Gas Co., Ltd.</w:t>
      </w:r>
    </w:p>
    <w:p>
      <w:pPr/>
      <w:r>
        <w:rPr>
          <w:rFonts w:ascii="Helvetica" w:hAnsi="Helvetica" w:cs="Helvetica"/>
          <w:sz w:val="24"/>
          <w:sz-cs w:val="24"/>
          <w:spacing w:val="0"/>
          <w:color w:val="000000"/>
        </w:rPr>
        <w:t xml:space="preserve">* 6.4.11 Sempra Infrastructure</w:t>
      </w:r>
    </w:p>
    <w:p>
      <w:pPr/>
      <w:r>
        <w:rPr>
          <w:rFonts w:ascii="Helvetica" w:hAnsi="Helvetica" w:cs="Helvetica"/>
          <w:sz w:val="24"/>
          <w:sz-cs w:val="24"/>
          <w:spacing w:val="0"/>
          <w:color w:val="000000"/>
        </w:rPr>
        <w:t xml:space="preserve">* 6.4.12 Exxon Mobil Corp.</w:t>
      </w:r>
    </w:p>
    <w:p>
      <w:pPr/>
      <w:r>
        <w:rPr>
          <w:rFonts w:ascii="Helvetica" w:hAnsi="Helvetica" w:cs="Helvetica"/>
          <w:sz w:val="24"/>
          <w:sz-cs w:val="24"/>
          <w:spacing w:val="0"/>
          <w:color w:val="000000"/>
        </w:rPr>
        <w:t xml:space="preserve">* 6.4.13 BW LNG</w:t>
      </w:r>
    </w:p>
    <w:p>
      <w:pPr/>
      <w:r>
        <w:rPr>
          <w:rFonts w:ascii="Helvetica" w:hAnsi="Helvetica" w:cs="Helvetica"/>
          <w:sz w:val="24"/>
          <w:sz-cs w:val="24"/>
          <w:spacing w:val="0"/>
          <w:color w:val="000000"/>
        </w:rPr>
        <w:t xml:space="preserve">* 6.4.14 Hoegh LNG</w:t>
      </w:r>
    </w:p>
    <w:p>
      <w:pPr/>
      <w:r>
        <w:rPr>
          <w:rFonts w:ascii="Helvetica" w:hAnsi="Helvetica" w:cs="Helvetica"/>
          <w:sz w:val="24"/>
          <w:sz-cs w:val="24"/>
          <w:spacing w:val="0"/>
          <w:color w:val="000000"/>
        </w:rPr>
        <w:t xml:space="preserve">* 6.4.15 Golar LNG Ltd.</w:t>
      </w:r>
    </w:p>
    <w:p>
      <w:pPr/>
      <w:r>
        <w:rPr>
          <w:rFonts w:ascii="Helvetica" w:hAnsi="Helvetica" w:cs="Helvetica"/>
          <w:sz w:val="24"/>
          <w:sz-cs w:val="24"/>
          <w:spacing w:val="0"/>
          <w:color w:val="000000"/>
        </w:rPr>
        <w:t xml:space="preserve">* 6.4.16 Bechtel Corporation</w:t>
      </w:r>
    </w:p>
    <w:p>
      <w:pPr/>
      <w:r>
        <w:rPr>
          <w:rFonts w:ascii="Helvetica" w:hAnsi="Helvetica" w:cs="Helvetica"/>
          <w:sz w:val="24"/>
          <w:sz-cs w:val="24"/>
          <w:spacing w:val="0"/>
          <w:color w:val="000000"/>
        </w:rPr>
        <w:t xml:space="preserve">* 6.4.17 Technip Energies NV</w:t>
      </w:r>
    </w:p>
    <w:p>
      <w:pPr/>
      <w:r>
        <w:rPr>
          <w:rFonts w:ascii="Helvetica" w:hAnsi="Helvetica" w:cs="Helvetica"/>
          <w:sz w:val="24"/>
          <w:sz-cs w:val="24"/>
          <w:spacing w:val="0"/>
          <w:color w:val="000000"/>
        </w:rPr>
        <w:t xml:space="preserve">* 6.4.18 Larsen &amp; Toubro Ltd.</w:t>
      </w:r>
    </w:p>
    <w:p>
      <w:pPr/>
      <w:r>
        <w:rPr>
          <w:rFonts w:ascii="Helvetica" w:hAnsi="Helvetica" w:cs="Helvetica"/>
          <w:sz w:val="24"/>
          <w:sz-cs w:val="24"/>
          <w:spacing w:val="0"/>
          <w:color w:val="000000"/>
        </w:rPr>
        <w:t xml:space="preserve">* 6.4.19 Samsung C&amp;T Corp.</w:t>
      </w:r>
    </w:p>
    <w:p>
      <w:pPr/>
      <w:r>
        <w:rPr>
          <w:rFonts w:ascii="Helvetica" w:hAnsi="Helvetica" w:cs="Helvetica"/>
          <w:sz w:val="24"/>
          <w:sz-cs w:val="24"/>
          <w:spacing w:val="0"/>
          <w:color w:val="000000"/>
        </w:rPr>
        <w:t xml:space="preserve">* 6.4.20 McDermott International Inc.</w:t>
      </w:r>
    </w:p>
    <w:p>
      <w:pPr/>
      <w:r>
        <w:rPr>
          <w:rFonts w:ascii="Helvetica" w:hAnsi="Helvetica" w:cs="Helvetica"/>
          <w:sz w:val="24"/>
          <w:sz-cs w:val="24"/>
          <w:spacing w:val="0"/>
          <w:color w:val="000000"/>
        </w:rPr>
        <w:t xml:space="preserve">* 6.4.21 JGC Holdings Corp.</w:t>
      </w:r>
    </w:p>
    <w:p>
      <w:pPr/>
      <w:r>
        <w:rPr>
          <w:rFonts w:ascii="Helvetica" w:hAnsi="Helvetica" w:cs="Helvetica"/>
          <w:sz w:val="24"/>
          <w:sz-cs w:val="24"/>
          <w:spacing w:val="0"/>
          <w:color w:val="000000"/>
        </w:rPr>
        <w:t xml:space="preserve">* 6.4.22 Saipem SpA</w:t>
      </w:r>
    </w:p>
    <w:p>
      <w:pPr/>
      <w:r>
        <w:rPr>
          <w:rFonts w:ascii="Helvetica" w:hAnsi="Helvetica" w:cs="Helvetica"/>
          <w:sz w:val="24"/>
          <w:sz-cs w:val="24"/>
          <w:spacing w:val="0"/>
          <w:color w:val="000000"/>
        </w:rPr>
        <w:t xml:space="preserve">* 6.4.23 KBR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this study, the LNG terminals market covers revenue linked to building, expanding, and operating LNG terminal assets, plus related services, across liquefaction and regasification terminals. This includes onshore terminals and floating terminals such as FSRUs and FLNG.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Upstream gas production, long distance pipeline transmission outside terminal gates, and LNG shipping freight are excluded from this market sizing.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Terminal Type* Onshore</w:t>
      </w:r>
    </w:p>
    <w:p>
      <w:pPr/>
      <w:r>
        <w:rPr>
          <w:rFonts w:ascii="Helvetica" w:hAnsi="Helvetica" w:cs="Helvetica"/>
          <w:sz w:val="24"/>
          <w:sz-cs w:val="24"/>
          <w:spacing w:val="0"/>
          <w:color w:val="000000"/>
        </w:rPr>
        <w:t xml:space="preserve">* Floating (FSRU/FLNG)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Service* Liquefaction (Export)</w:t>
      </w:r>
    </w:p>
    <w:p>
      <w:pPr/>
      <w:r>
        <w:rPr>
          <w:rFonts w:ascii="Helvetica" w:hAnsi="Helvetica" w:cs="Helvetica"/>
          <w:sz w:val="24"/>
          <w:sz-cs w:val="24"/>
          <w:spacing w:val="0"/>
          <w:color w:val="000000"/>
        </w:rPr>
        <w:t xml:space="preserve">* Regasification (Import)</w:t>
      </w:r>
    </w:p>
    <w:p>
      <w:pPr/>
      <w:r>
        <w:rPr>
          <w:rFonts w:ascii="Helvetica" w:hAnsi="Helvetica" w:cs="Helvetica"/>
          <w:sz w:val="24"/>
          <w:sz-cs w:val="24"/>
          <w:spacing w:val="0"/>
          <w:color w:val="000000"/>
        </w:rPr>
        <w:t xml:space="preserve">* Bunkering and Small-scale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Capacity Range* Below 2 MMTPA</w:t>
      </w:r>
    </w:p>
    <w:p>
      <w:pPr/>
      <w:r>
        <w:rPr>
          <w:rFonts w:ascii="Helvetica" w:hAnsi="Helvetica" w:cs="Helvetica"/>
          <w:sz w:val="24"/>
          <w:sz-cs w:val="24"/>
          <w:spacing w:val="0"/>
          <w:color w:val="000000"/>
        </w:rPr>
        <w:t xml:space="preserve">* 2 to 5 MMTPA</w:t>
      </w:r>
    </w:p>
    <w:p>
      <w:pPr/>
      <w:r>
        <w:rPr>
          <w:rFonts w:ascii="Helvetica" w:hAnsi="Helvetica" w:cs="Helvetica"/>
          <w:sz w:val="24"/>
          <w:sz-cs w:val="24"/>
          <w:spacing w:val="0"/>
          <w:color w:val="000000"/>
        </w:rPr>
        <w:t xml:space="preserve">* Above 5 MMTPA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Sector* Power Generation</w:t>
      </w:r>
    </w:p>
    <w:p>
      <w:pPr/>
      <w:r>
        <w:rPr>
          <w:rFonts w:ascii="Helvetica" w:hAnsi="Helvetica" w:cs="Helvetica"/>
          <w:sz w:val="24"/>
          <w:sz-cs w:val="24"/>
          <w:spacing w:val="0"/>
          <w:color w:val="000000"/>
        </w:rPr>
        <w:t xml:space="preserve">* Industrial and Manufacturing</w:t>
      </w:r>
    </w:p>
    <w:p>
      <w:pPr/>
      <w:r>
        <w:rPr>
          <w:rFonts w:ascii="Helvetica" w:hAnsi="Helvetica" w:cs="Helvetica"/>
          <w:sz w:val="24"/>
          <w:sz-cs w:val="24"/>
          <w:spacing w:val="0"/>
          <w:color w:val="000000"/>
        </w:rPr>
        <w:t xml:space="preserve">* Transportation and Marine Bunkering</w:t>
      </w:r>
    </w:p>
    <w:p>
      <w:pPr/>
      <w:r>
        <w:rPr>
          <w:rFonts w:ascii="Helvetica" w:hAnsi="Helvetica" w:cs="Helvetica"/>
          <w:sz w:val="24"/>
          <w:sz-cs w:val="24"/>
          <w:spacing w:val="0"/>
          <w:color w:val="000000"/>
        </w:rPr>
        <w:t xml:space="preserve">* City-Gas and Residential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NORDIC Countries</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ASEAN Countries</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Qatar</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starts with a fact base on LNG trade flows and terminal infrastructure, then translates those facts into sizing inputs that can be traced and audited later. We mainly use public datasets such as IEA gas and LNG statistics, EIA LNG trade and infrastructure updates, Eurostat energy balances, UN Comtrade trade series, and GIE and other LNG terminal association capacity registries.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Model assumptions are then aligned to what is reflected in real projects and real balance sheets, using company annual reports, investor presentations, project press releases, port authority updates, and coverage from business press. We also use a paid subscription for company financials and news to cross-check ownership changes, commissioning dates, and expansion status. When new terminal solutions could affect cost and utilization patterns, a patent database is referenced selectively. The desk sources listed here are illustrative only, and additional public references were used to collect, validate, and clarify data points.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is used to confirm what public datasets cannot show clearly, especially how terminal capacity is utilized, how tariffs and service mixes shift with contracting, and what near-term delays or pull-ins look like by region. We interview and survey terminal developers, EPC and engineering stakeholders, port and utility planners, equipment ecosystem participants, and large end users. We then use these inputs to verify key assumptions across APAC, EMEA, and the Americas.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32% | CXOs: 15% | APAC: 41% | </w:t>
      </w:r>
    </w:p>
    <w:p>
      <w:pPr/>
      <w:r>
        <w:rPr>
          <w:rFonts w:ascii="Helvetica" w:hAnsi="Helvetica" w:cs="Helvetica"/>
          <w:sz w:val="24"/>
          <w:sz-cs w:val="24"/>
          <w:spacing w:val="0"/>
          <w:color w:val="000000"/>
        </w:rPr>
        <w:t xml:space="preserve">Mid tier: 51% | Functional/Unit leaders: 26% | EMEA: 35% | </w:t>
      </w:r>
    </w:p>
    <w:p>
      <w:pPr/>
      <w:r>
        <w:rPr>
          <w:rFonts w:ascii="Helvetica" w:hAnsi="Helvetica" w:cs="Helvetica"/>
          <w:sz w:val="24"/>
          <w:sz-cs w:val="24"/>
          <w:spacing w:val="0"/>
          <w:color w:val="000000"/>
        </w:rPr>
        <w:t xml:space="preserve">Smaller Players: 17% | Managers: 59% | Americas: 24%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Sizing is built by mapping the global LNG terminal demand pool using a top-down approach. We reconstruct LNG import and export volumes, terminal nameplate capacity additions (MMTPA), and commissioning and expansion timelines by region, then translate that structure into annual market value. After the top-down structure is set, we corroborate it with selective bottom-up checks, such as sampled project costs for recent builds and expansions, and sampled tariff and service revenue per unit of throughput. These checks help adjust totals when the first pass looks too high or too low.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used in the model include LNG trade volumes by region, terminal capacity by type (onshore versus floating), the share of liquefaction versus regasification service value, utilization rates (effective throughput versus nameplate), and the project pipeline split between newbuild and expansion. Where public information is thin, gaps are handled using peer project analogs and expert ranges, with assumptions kept consistent with observed cost and timing patterns.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is used with a base case shaped by expected LNG supply additions, expected import diversification needs, and the practical speed of permitting and construction. These forward drivers are stress tested with interview feedback on likely delays, cost escalation, and how quickly floating solutions can be deployed versus onshore builds.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are checked in layers so that obvious errors do not carry into the final tables. We compare model totals with independent signals such as regional LNG trade growth, reported terminal utilization direction, and the visible project commissioning calendar, then flag variances that exceed reasonable bounds.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If a variance is found, we rework assumptions and, when needed, re-contact experts to confirm whether the change is real or caused by a definition mismatch. Before sign-off, the numbers go through multi-step analyst review, including unit checks, currency timing checks, and year-on-year logic checks. Reports are refreshed annually, and interim updates are made when major project decisions, policy changes, or commissioning shifts can materially move the near-term outlook, followed by a final pre-delivery pass so clients receive the latest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Global Lng Terminals Market Market Size Measured Against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LNG terminal market values can differ even when everyone is tracking the same industry trends, because the market boundary is not always the same. Differences usually come from what is counted as terminal spend or revenue, how floating terminals are treated, which year is used as the base, and how currency conversions are timed.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It also depends on whether a publisher counts only liquefaction or only regasification, or whether they add adjacent items like broader LNG infrastructure and downstream distribution. Assumptions on utilization, tariff progression, project delays, and the share of the pipeline treated as bankable can shift results as well, and those choices often explain larger gaps than the stated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8.86 B (2026) | | </w:t>
      </w:r>
    </w:p>
    <w:p>
      <w:pPr/>
      <w:r>
        <w:rPr>
          <w:rFonts w:ascii="Helvetica" w:hAnsi="Helvetica" w:cs="Helvetica"/>
          <w:sz w:val="24"/>
          <w:sz-cs w:val="24"/>
          <w:spacing w:val="0"/>
          <w:color w:val="000000"/>
        </w:rPr>
        <w:t xml:space="preserve">Industry Publisher A | USD 9.00 B (2025) | Uses a different base year and a longer forecast window, and it broadly describes activities like storage and terminal operations without clearly separating liquefaction, regasification, and bunkering service value in the same way. | </w:t>
      </w:r>
    </w:p>
    <w:p>
      <w:pPr/>
      <w:r>
        <w:rPr>
          <w:rFonts w:ascii="Helvetica" w:hAnsi="Helvetica" w:cs="Helvetica"/>
          <w:sz w:val="24"/>
          <w:sz-cs w:val="24"/>
          <w:spacing w:val="0"/>
          <w:color w:val="000000"/>
        </w:rPr>
        <w:t xml:space="preserve">Industry Publisher B | USD 8.31 B (2025) | Uses 2025 as the base and a different forecast start year, and its segment framing by technology and function can shift what is counted as terminal market value versus supporting infrastructure and services. | </w:t>
      </w:r>
    </w:p>
    <w:p>
      <w:pPr/>
      <w:r>
        <w:rPr>
          <w:rFonts w:ascii="Helvetica" w:hAnsi="Helvetica" w:cs="Helvetica"/>
          <w:sz w:val="24"/>
          <w:sz-cs w:val="24"/>
          <w:spacing w:val="0"/>
          <w:color w:val="000000"/>
        </w:rPr>
        <w:t xml:space="preserve">The table shows a tight spread in the near term, and in Mordor Intelligence's model the market is counted across liquefaction, regasification, and bunkering and small-scale hubs, with both onshore and floating terminals included under one consistent global definition. When base years, service mix boundaries, and utilization and timing assumptions are aligned, the remaining differences become easier to explain and the final totals stay traceable to clear LNG trade and capacity drivers.</w:t>
      </w:r>
    </w:p>
    <w:p>
      <w:pPr/>
      <w:r>
        <w:rPr>
          <w:rFonts w:ascii="Helvetica" w:hAnsi="Helvetica" w:cs="Helvetica"/>
          <w:sz w:val="24"/>
          <w:sz-cs w:val="24"/>
          <w:spacing w:val="0"/>
          <w:color w:val="000000"/>
        </w:rPr>
        <w:t xml:space="preserve">Key Questions Answered in the ReportWhat is the projected growth rate for the LNG terminals market to 2031? The market is set to advance at an 10.91% CAGR, rising from USD 8.86 billion in 2026 to USD 14.86 billion in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add capacity fastest between 2026 and 2031? Europe shows the highest regional CAGR at 12.85% as countries replace pipeline gas with import terminals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floating storage and regasification units gaining traction? FSRUs can be delivered in 1-2 years at about one-third the capital cost of onshore plants, giving governments rapid energy-security options.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volatile LNG spot prices affecting terminal economics? Price swings lower utilisation, leading operators to add storage and trans-shipment income streams, though these seldom fully offset reduced throughput.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makes bunkering infrastructure a growth segment? IMO sulfur and carbon rules push ship owners toward LNG fuel, driving a 16.35% CAGR in bunkering hubs that supply new dual-fuel vessels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capacity range is growing most quickly? Terminals below 2 MMTPA lead with 15.42% CAGR thanks to modular construction that enables entry into underserved coastal markets.</w:t>
      </w:r>
    </w:p>
    <w:p>
      <w:pPr/>
      <w:r>
        <w:rPr>
          <w:rFonts w:ascii="Helvetica" w:hAnsi="Helvetica" w:cs="Helvetica"/>
          <w:sz w:val="24"/>
          <w:sz-cs w:val="24"/>
          <w:spacing w:val="0"/>
          <w:color w:val="000000"/>
        </w:rPr>
        <w:t xml:space="preserve">Related Reports Explore More ReportsCanada LNG Market SizeChina LNG MarketLarge Scale LNG Terminals IndustryReport on LNG as a Fuel IndustryIndustry Outlook of LNG InfrastructureReport on Small-scale LNG IndustryUnited States LNG Infrastructure Industry Overview</w:t>
      </w:r>
    </w:p>
    <w:p>
      <w:pPr/>
      <w:r>
        <w:rPr>
          <w:rFonts w:ascii="Helvetica" w:hAnsi="Helvetica" w:cs="Helvetica"/>
          <w:sz w:val="24"/>
          <w:sz-cs w:val="24"/>
          <w:spacing w:val="0"/>
          <w:color w:val="000000"/>
        </w:rPr>
        <w:t xml:space="preserve">LNG Terminal Market Report Snapshots* LNG Terminal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