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Maritime Freight Transport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[https://www.mordorintelligence.com/industry-reports/global-maritime-freight-transport-market](https://www.mordorintelligence.com/industry-reports/global-maritime-freight-transport-market)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632.36 billion |</w:t>
      </w:r>
    </w:p>
    <w:p>
      <w:pPr/>
      <w:r>
        <w:rPr>
          <w:rFonts w:ascii="Helvetica Light" w:hAnsi="Helvetica Light" w:cs="Helvetica Light"/>
          <w:sz w:val="24"/>
          <w:sz-cs w:val="24"/>
        </w:rPr>
        <w:t xml:space="preserve">| **Projected Forecast (2031)** | USD 632.36 billion |</w:t>
      </w:r>
    </w:p>
    <w:p>
      <w:pPr/>
      <w:r>
        <w:rPr>
          <w:rFonts w:ascii="Helvetica Light" w:hAnsi="Helvetica Light" w:cs="Helvetica Light"/>
          <w:sz w:val="24"/>
          <w:sz-cs w:val="24"/>
        </w:rPr>
        <w:t xml:space="preserve">| **Growth Rate (CAGR)** | 5.43 %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Maritime Freight Transport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 Market Share by Cargo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632.36 Billion | </w:t>
      </w:r>
    </w:p>
    <w:p>
      <w:pPr/>
      <w:r>
        <w:rPr>
          <w:rFonts w:ascii="Helvetica Light" w:hAnsi="Helvetica Light" w:cs="Helvetica Light"/>
          <w:sz w:val="24"/>
          <w:sz-cs w:val="24"/>
        </w:rPr>
        <w:t xml:space="preserve">Market Size (2031) | USD 823.57 Billion | </w:t>
      </w:r>
    </w:p>
    <w:p>
      <w:pPr/>
      <w:r>
        <w:rPr>
          <w:rFonts w:ascii="Helvetica Light" w:hAnsi="Helvetica Light" w:cs="Helvetica Light"/>
          <w:sz w:val="24"/>
          <w:sz-cs w:val="24"/>
        </w:rPr>
        <w:t xml:space="preserve">Growth Rate (2026 - 2031) | 5.43 %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Market Analysis by Mordor IntelligenceThe Maritime Freight Transport Market size was valued at USD 599.78 billion in 2025 and estimated to grow from USD 632.36 billion in 2026 to reach USD 823.57 billion by 2031, at a CAGR of 5.43%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Sustained expansion springs from resilient global trade volumes, the rerouting of vessels around congestion and conflict zones that inflates ton-mile demand, and the accelerating shift of cargo toward South-South corridors that intensify intra-Asian flows[1]“China’s Pinglu Canal Investment,” Carnegie Endowment, carnegieendowment.org. Compliance with the EU Emissions Trading System (EU ETS) adds USD 206 per metric ton to operating costs in 2025 but simultaneously accelerates fleet renewal toward low-carbon tonnage, supporting long-run competitiveness[2]“Compliance Costs of Alternative Fuels,” Sustainable Ships, sustainable-ships.org. Alliance realignments such as the Gemini Cooperation between Maersk and Hapag-Lloyd recalibrate slot allocation across East-West lanes, raising schedule reliability targets to 90% and sharpening service differentiation. Digital freight platforms that now govern more than 80% of container transactions provide real-time capacity balancing, cut average dwell time by 12%, and help carriers monetize empty repositioning legs.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cargo type, dry bulk captured 28.65% of the Maritime freight transport market share in 2025, while liquid bulk is advancing at a 4.02% CAGR through 2031.</w:t>
      </w:r>
    </w:p>
    <w:p>
      <w:pPr/>
      <w:r>
        <w:rPr>
          <w:rFonts w:ascii="Helvetica Light" w:hAnsi="Helvetica Light" w:cs="Helvetica Light"/>
          <w:sz w:val="24"/>
          <w:sz-cs w:val="24"/>
        </w:rPr>
        <w:t xml:space="preserve">* By end-user industry, manufacturing &amp; consumer goods held 27.55% of the Maritime freight transport market size in 2025, whereas pharmaceuticals &amp; healthcare are expanding at a 5.49% CAGR to 2031.</w:t>
      </w:r>
    </w:p>
    <w:p>
      <w:pPr/>
      <w:r>
        <w:rPr>
          <w:rFonts w:ascii="Helvetica Light" w:hAnsi="Helvetica Light" w:cs="Helvetica Light"/>
          <w:sz w:val="24"/>
          <w:sz-cs w:val="24"/>
        </w:rPr>
        <w:t xml:space="preserve">* By geography, Asia-Pacific commanded a 37.65% revenue share of the Maritime freight transport market in 2025 and is forecast to post a 5.02%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Maritime Freight Transport Market*Driver | % Impact on CAGR Forecast | Geographic Relevance | Impact Timeline | </w:t>
      </w:r>
    </w:p>
    <w:p>
      <w:pPr/>
      <w:r>
        <w:rPr>
          <w:rFonts w:ascii="Helvetica Light" w:hAnsi="Helvetica Light" w:cs="Helvetica Light"/>
          <w:sz w:val="24"/>
          <w:sz-cs w:val="24"/>
        </w:rPr>
        <w:t xml:space="preserve">Surge in South-South intra-Asian trade corridors | +1.2% | Asia-Pacific core, spill-over to Middle East | Medium term (2-4 years) | </w:t>
      </w:r>
    </w:p>
    <w:p>
      <w:pPr/>
      <w:r>
        <w:rPr>
          <w:rFonts w:ascii="Helvetica Light" w:hAnsi="Helvetica Light" w:cs="Helvetica Light"/>
          <w:sz w:val="24"/>
          <w:sz-cs w:val="24"/>
        </w:rPr>
        <w:t xml:space="preserve">Near-shoring drives short-sea feeder demand | +0.8% | North America &amp; EU, regional corridors | Short term (≤ 2 years) | </w:t>
      </w:r>
    </w:p>
    <w:p>
      <w:pPr/>
      <w:r>
        <w:rPr>
          <w:rFonts w:ascii="Helvetica Light" w:hAnsi="Helvetica Light" w:cs="Helvetica Light"/>
          <w:sz w:val="24"/>
          <w:sz-cs w:val="24"/>
        </w:rPr>
        <w:t xml:space="preserve">EU-ETS on maritime emissions reshapes fleet economics | +0.6% | Europe &amp; EU waters, global fleet impact | Long term (≥ 4 years) | </w:t>
      </w:r>
    </w:p>
    <w:p>
      <w:pPr/>
      <w:r>
        <w:rPr>
          <w:rFonts w:ascii="Helvetica Light" w:hAnsi="Helvetica Light" w:cs="Helvetica Light"/>
          <w:sz w:val="24"/>
          <w:sz-cs w:val="24"/>
        </w:rPr>
        <w:t xml:space="preserve">Digital freight platforms enable real-time capacity matching | +0.4% | Global, concentrated in major trade lanes | Medium term (2-4 years) | </w:t>
      </w:r>
    </w:p>
    <w:p>
      <w:pPr/>
      <w:r>
        <w:rPr>
          <w:rFonts w:ascii="Helvetica Light" w:hAnsi="Helvetica Light" w:cs="Helvetica Light"/>
          <w:sz w:val="24"/>
          <w:sz-cs w:val="24"/>
        </w:rPr>
        <w:t xml:space="preserve">Alternative fuels adoption lowers long-term OPEX | +0.3% | Global, early adoption in Europe &amp; Japan | Long term (≥ 4 years) | </w:t>
      </w:r>
    </w:p>
    <w:p>
      <w:pPr/>
      <w:r>
        <w:rPr>
          <w:rFonts w:ascii="Helvetica Light" w:hAnsi="Helvetica Light" w:cs="Helvetica Light"/>
          <w:sz w:val="24"/>
          <w:sz-cs w:val="24"/>
        </w:rPr>
        <w:t xml:space="preserve">Suez diversions &amp; Panama expansion boost ton-miles | +0.9% | Global, particularly Asia-Europe routes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Maritime freight transport market is moderately fragmented. MSC leads with 6.3 million TEU, growing 67% since 2020. The termination of the 2M Alliance frees MSC to deploy megamax vessels unilaterally, while the Gemini Cooperation between Maersk and Hapag-Lloyd pools 340 ships with a 90% on-time reliability target. ONE, HMM, and Yang Ming form the Premier Alliance, challenging established slot-sharing norms and injecting fresh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differentiation gravitates toward sustainability. Hapag-Lloyd’s USD 4 billion order for 24 methanol-ready ships capable of 95% CO₂e cuts underpins its “Strategy 2030” goal. Maersk pursues net-zero by 2040 through 800,000 TEU of methanol dual-fuel newbuilds, supported by green-methanol procurement partnerships. Mitsui O.S.K. Lines’ USD 1.715 billion buyout of LBC Tank Terminals diversifies revenue into chemical storage, insulating against pure freight-rate cyclicality.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and cyber capabilities become decisive. CMA CGM invests USD 20 billion in U.S. logistics, rolling out AI-driven platforms that compress booking lead times. Hapag-Lloyd pilots blockchain to guarantee document integrity, reinforcing customer trust. Heightened cyber-risk pushes carriers to adopt ISO 27001 frameworks, adding compliance costs yet also raising competitive barriers. Regional specialists exploit white-space in high-growth niches; X-Press Feeders scales LNG-powered, 1,700 TEU tonnage for Baltic short-sea lanes, underscoring the agility advantages of smaller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Maritime Freight Transport Industry Leaders* Mediterranean Shipping Company (MSC)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A.P. Moller-Maersk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COSCO Shipping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Hapag-Lloyd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Ocean Network Express (ONE)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this report, the maritime freight transport market is counted as revenue earned from moving cargo by sea across domestic and international routes, covering the main shipping service types used to carry bulk and unitized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inland waterway and river barge freight is excluded from this market sizing unless it is clearly contracted as an ocean-leg shipment.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Containerized Cargo* Dry</w:t>
      </w:r>
    </w:p>
    <w:p>
      <w:pPr/>
      <w:r>
        <w:rPr>
          <w:rFonts w:ascii="Helvetica Light" w:hAnsi="Helvetica Light" w:cs="Helvetica Light"/>
          <w:sz w:val="24"/>
          <w:sz-cs w:val="24"/>
        </w:rPr>
        <w:t xml:space="preserve">* Reefer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Dry Bulk Cargo</w:t>
      </w:r>
    </w:p>
    <w:p>
      <w:pPr/>
      <w:r>
        <w:rPr>
          <w:rFonts w:ascii="Helvetica Light" w:hAnsi="Helvetica Light" w:cs="Helvetica Light"/>
          <w:sz w:val="24"/>
          <w:sz-cs w:val="24"/>
        </w:rPr>
        <w:t xml:space="preserve">* Liquid Bulk Cargo</w:t>
      </w:r>
    </w:p>
    <w:p>
      <w:pPr/>
      <w:r>
        <w:rPr>
          <w:rFonts w:ascii="Helvetica Light" w:hAnsi="Helvetica Light" w:cs="Helvetica Light"/>
          <w:sz w:val="24"/>
          <w:sz-cs w:val="24"/>
        </w:rPr>
        <w:t xml:space="preserve">* General Cargo</w:t>
      </w:r>
    </w:p>
    <w:p>
      <w:pPr/>
      <w:r>
        <w:rPr>
          <w:rFonts w:ascii="Helvetica Light" w:hAnsi="Helvetica Light" w:cs="Helvetica Light"/>
          <w:sz w:val="24"/>
          <w:sz-cs w:val="24"/>
        </w:rPr>
        <w:t xml:space="preserve">* Roll-On/Roll-Off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Electronics &amp; Semiconductors</w:t>
      </w:r>
    </w:p>
    <w:p>
      <w:pPr/>
      <w:r>
        <w:rPr>
          <w:rFonts w:ascii="Helvetica Light" w:hAnsi="Helvetica Light" w:cs="Helvetica Light"/>
          <w:sz w:val="24"/>
          <w:sz-cs w:val="24"/>
        </w:rPr>
        <w:t xml:space="preserve">* Chemicals &amp; Petrochemicals</w:t>
      </w:r>
    </w:p>
    <w:p>
      <w:pPr/>
      <w:r>
        <w:rPr>
          <w:rFonts w:ascii="Helvetica Light" w:hAnsi="Helvetica Light" w:cs="Helvetica Light"/>
          <w:sz w:val="24"/>
          <w:sz-cs w:val="24"/>
        </w:rPr>
        <w:t xml:space="preserve">* Food &amp; Beverage</w:t>
      </w:r>
    </w:p>
    <w:p>
      <w:pPr/>
      <w:r>
        <w:rPr>
          <w:rFonts w:ascii="Helvetica Light" w:hAnsi="Helvetica Light" w:cs="Helvetica Light"/>
          <w:sz w:val="24"/>
          <w:sz-cs w:val="24"/>
        </w:rPr>
        <w:t xml:space="preserve">* Pharmaceuticals &amp; Healthcare</w:t>
      </w:r>
    </w:p>
    <w:p>
      <w:pPr/>
      <w:r>
        <w:rPr>
          <w:rFonts w:ascii="Helvetica Light" w:hAnsi="Helvetica Light" w:cs="Helvetica Light"/>
          <w:sz w:val="24"/>
          <w:sz-cs w:val="24"/>
        </w:rPr>
        <w:t xml:space="preserve">* Retail &amp; E-commerce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maritime freight transport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632.36 billion and is forecast to grow to USD 823.57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CAGR for maritime freight transport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compound annual growth rate is 5.43%.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cargo type leads seaborne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Dry bulk holds 28.65% share, led by iron ore and coal flows into China.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largest share of maritime trade?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37.65% of 2025 revenue and remains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pharmaceuticals shipping by sea?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Temperature-controlled reefer technology makes ocean transport cost-effective for sensitive biologics, lifting the segment at a 5.49%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regulation affecting fleet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ETS compliance pushes owners toward dual-fuel newbuilds, accelerating green fleet renewal across major trades.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