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Motor 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[https://www.mordorintelligence.com/industry-reports/global-motor-insurance-market](https://www.mordorintelligence.com/industry-reports/global-motor-insurance-market)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2.27 trillion |</w:t>
      </w:r>
    </w:p>
    <w:p>
      <w:pPr/>
      <w:r>
        <w:rPr>
          <w:rFonts w:ascii="Helvetica Light" w:hAnsi="Helvetica Light" w:cs="Helvetica Light"/>
          <w:sz w:val="24"/>
          <w:sz-cs w:val="24"/>
        </w:rPr>
        <w:t xml:space="preserve">| **Projected Forecast (2031)** | USD 2.27 trillion |</w:t>
      </w:r>
    </w:p>
    <w:p>
      <w:pPr/>
      <w:r>
        <w:rPr>
          <w:rFonts w:ascii="Helvetica Light" w:hAnsi="Helvetica Light" w:cs="Helvetica Light"/>
          <w:sz w:val="24"/>
          <w:sz-cs w:val="24"/>
        </w:rPr>
        <w:t xml:space="preserve">| **Growth Rate (CAGR)** | 6.65 %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Motor 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 Insurance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 Insurance Market: Market Share by Coverage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 Insurance Market: Market Share by Vehicle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 Insurance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2.27 Trillion | </w:t>
      </w:r>
    </w:p>
    <w:p>
      <w:pPr/>
      <w:r>
        <w:rPr>
          <w:rFonts w:ascii="Helvetica Light" w:hAnsi="Helvetica Light" w:cs="Helvetica Light"/>
          <w:sz w:val="24"/>
          <w:sz-cs w:val="24"/>
        </w:rPr>
        <w:t xml:space="preserve">Market Size (2031) | USD 3.13 Trillion | </w:t>
      </w:r>
    </w:p>
    <w:p>
      <w:pPr/>
      <w:r>
        <w:rPr>
          <w:rFonts w:ascii="Helvetica Light" w:hAnsi="Helvetica Light" w:cs="Helvetica Light"/>
          <w:sz w:val="24"/>
          <w:sz-cs w:val="24"/>
        </w:rPr>
        <w:t xml:space="preserve">Growth Rate (2026 - 2031) | 6.65 %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 Insurance Market Analysis by Mordor IntelligenceThe Motor Insurance Market size in terms of premium value is projected to expand from USD 2.13 trillion in 2025 and USD 2.27 trillion in 2026 to USD 3.13 trillion by 2031, registering a CAGR of 6.65%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Insurers are focusing on underwriting discipline after two years of elevated claims severity linked to parts inflation, ADAS recalibration, and EV repair complexity, with North American carriers improving personal-auto combined ratios in 2025 through rate adequacy and operational efficiency. Repair cost inflation and calibration intensity continue to influence pricing, while claims handling benefits from AI-enabled triage and parts sourcing that shorten cycle times in select lines. Asia-Pacific is now the fastest-growing region through 2031 due to a rising insured base and EV penetration that necessitate updated coverage constructs and battery-specific underwriting methods. Digital and embedded distribution models are scaling across OEMs, lenders, and mobility platforms, but fraud risks such as ghost broking have risen in some markets, which has prompted carrier countermeasures and platform-level safeguards.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coverage type, third-party liability held 42.37% of the motor insurance market size in 2025, while comprehensive coverage is the fastest growing at an 8.46% CAGR to 2031.</w:t>
      </w:r>
    </w:p>
    <w:p>
      <w:pPr/>
      <w:r>
        <w:rPr>
          <w:rFonts w:ascii="Helvetica Light" w:hAnsi="Helvetica Light" w:cs="Helvetica Light"/>
          <w:sz w:val="24"/>
          <w:sz-cs w:val="24"/>
        </w:rPr>
        <w:t xml:space="preserve">* By distribution channel, agents and brokers accounted for 47.18% of the written premiums of the motor insurance market size in 2025, and direct and digital models are projected to grow at a 9.74% CAGR through 2031.</w:t>
      </w:r>
    </w:p>
    <w:p>
      <w:pPr/>
      <w:r>
        <w:rPr>
          <w:rFonts w:ascii="Helvetica Light" w:hAnsi="Helvetica Light" w:cs="Helvetica Light"/>
          <w:sz w:val="24"/>
          <w:sz-cs w:val="24"/>
        </w:rPr>
        <w:t xml:space="preserve">* By vehicle type, passenger cars captured 72.64% of premiums of the motor insurance market share in 2025, while light commercial vehicles are set to expand at a 7.92% CAGR over 2026-2031.</w:t>
      </w:r>
    </w:p>
    <w:p>
      <w:pPr/>
      <w:r>
        <w:rPr>
          <w:rFonts w:ascii="Helvetica Light" w:hAnsi="Helvetica Light" w:cs="Helvetica Light"/>
          <w:sz w:val="24"/>
          <w:sz-cs w:val="24"/>
        </w:rPr>
        <w:t xml:space="preserve">* By vehicle age, new vehicles held a 65.43% of the motor insurance market share in 2025, and used-vehicle policies are projected to grow at a 6.88% CAGR through 2031.</w:t>
      </w:r>
    </w:p>
    <w:p>
      <w:pPr/>
      <w:r>
        <w:rPr>
          <w:rFonts w:ascii="Helvetica Light" w:hAnsi="Helvetica Light" w:cs="Helvetica Light"/>
          <w:sz w:val="24"/>
          <w:sz-cs w:val="24"/>
        </w:rPr>
        <w:t xml:space="preserve">* By geography, North America led with 35.71% of global premiums of the motor insurance market size in 2025, while Asia-Pacific is the fastest-growing region at a 10.26%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Motor Insurance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Regulatory enforcement of third-party liability in emerging markets | +1.2% | Indonesia, Nigeria, GCC, South and Southeast Asia | Medium term (2-4 years) | </w:t>
      </w:r>
    </w:p>
    <w:p>
      <w:pPr/>
      <w:r>
        <w:rPr>
          <w:rFonts w:ascii="Helvetica Light" w:hAnsi="Helvetica Light" w:cs="Helvetica Light"/>
          <w:sz w:val="24"/>
          <w:sz-cs w:val="24"/>
        </w:rPr>
        <w:t xml:space="preserve">Premium rate hardening following claims severity inflation | +1.8% | North America, the United Kingdom, and Australia | Short term (≤ 2 years) | </w:t>
      </w:r>
    </w:p>
    <w:p>
      <w:pPr/>
      <w:r>
        <w:rPr>
          <w:rFonts w:ascii="Helvetica Light" w:hAnsi="Helvetica Light" w:cs="Helvetica Light"/>
          <w:sz w:val="24"/>
          <w:sz-cs w:val="24"/>
        </w:rPr>
        <w:t xml:space="preserve">Telematics and UBI adoption via OEM-connected car data | +1.1% | Japan, South Korea, Italy, the United States, and Canada | Medium term (2-4 years) | </w:t>
      </w:r>
    </w:p>
    <w:p>
      <w:pPr/>
      <w:r>
        <w:rPr>
          <w:rFonts w:ascii="Helvetica Light" w:hAnsi="Helvetica Light" w:cs="Helvetica Light"/>
          <w:sz w:val="24"/>
          <w:sz-cs w:val="24"/>
        </w:rPr>
        <w:t xml:space="preserve">Asia-Pacific new-vehicle and EV sales are expanding the insured base | +1.5% | China, India, ASEAN, Japan, Australia | Long term (≥ 4 years) | </w:t>
      </w:r>
    </w:p>
    <w:p>
      <w:pPr/>
      <w:r>
        <w:rPr>
          <w:rFonts w:ascii="Helvetica Light" w:hAnsi="Helvetica Light" w:cs="Helvetica Light"/>
          <w:sz w:val="24"/>
          <w:sz-cs w:val="24"/>
        </w:rPr>
        <w:t xml:space="preserve">Embedded distribution with OEMs, lenders, and mobility platforms | +0.9% | Global, with early gains in North America, Germany, United Kingdom | Medium term (2-4 years) | </w:t>
      </w:r>
    </w:p>
    <w:p>
      <w:pPr/>
      <w:r>
        <w:rPr>
          <w:rFonts w:ascii="Helvetica Light" w:hAnsi="Helvetica Light" w:cs="Helvetica Light"/>
          <w:sz w:val="24"/>
          <w:sz-cs w:val="24"/>
        </w:rPr>
        <w:t xml:space="preserve">Digitized LCV/commercial fleets enabling dynamic underwriting | +0.7% | North America, Western Europe, and urban Asia-Pacific hubs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motor insurance market features a moderate level of fragmentation where multinational carriers and regional champions pursue different playbooks around telematics scale, embedded distribution, and AI-driven claims, and leading Latin players such as Qualitas continue to consolidate share through data-led pricing and cross-border expansion. Strategic combinations support digital scale and unit-cost advantages, with notable transactions in 2025 that improved the position in personal lines and enabled renewed growth in segments where distribution is shifting online. Carriers are deepening partnerships with OEMs, banks, and mobility platforms to defend renewal books and tap embedded purchase moments that compress customer acquisition costs over time. Regulatory attention on AI, big data, and algorithmic transparency is extending across regions, which pushes investment in explainable models and robust governance over telematics-driven pricing. Within this context, scale players focus on operating leverage and brand, while specialists target niches such as young drivers and small fleets through behavior-based pricing and value-added services that improve retention.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Select 2025 moves point to renewed focus on telematics and digital distribution, with Italy a focal market where black-box adoption creates defensive moats and supports growth plans for incumbents and digital-first brands. Industry cost actions extend beyond pricing to fraud analytics and supply-chain optimization, where data platforms help detect staged losses and reduce leakage at FNOL and settlement. Payment’s modernization and digital refunds have raised customer satisfaction and lowered operational friction, which ties directly to claim and endorsement experiences that drive NPS and lifetime value. North American carriers improved underwriting results in 2025, though they remain attentive to legal trends that influence severity and litigation costs in commercial segments. Embedded and direct channels continue to recast acquisition economics in the motor insurance market, and incumbents are aligning capital toward these flows to secure future renewal pools.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Across technology adoption, leading carriers are deploying AI for subrogation, fraud detection, and triage while investing in explainability and model risk controls under evolving supervisory expectations. Repair network partnerships and calibration hubs for ADAS are being scaled to stabilize cycle times, control parts costs, and improve customer outcomes in EV-heavy portfolios. Regional leaders are using behavioral discounts and safe driving rewards to reinforce telematics engagement, which lowers claim frequency and strengthens policy longevity for the motor insurance market. The competitive set continues to adjust to OEM direct insurance where data advantages can be material, and traditional carriers emphasize transparency, omnichannel advice, and product breadth as counterweights. The combined result is healthy competition that tilts toward players able to integrate data, distribution, and claims at scale without eroding underwriting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 Insurance Industry Leaders* PICC Property &amp; Casualty (PICC P&amp;C)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State Farm Mutual Automobile Insurance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Progressive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GEICO (Berkshire Hathaway)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Allstate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global motor insurance market as the total gross written premiums collected worldwide for policies that protect private and commercial road-going vehicles, passenger cars, light vans, two-wheelers and heavy trucks, against own damage and third-party liability losses. We cover policies sold directly by carriers, through agent/broker networks and emerging digital platforms, aggregating personal as well as fleet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The estimate omits marine, aviation, crop or life covers and strips out reinsurance treaties placed above primary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Coverage Type* Third-Party Liability Insurance</w:t>
      </w:r>
    </w:p>
    <w:p>
      <w:pPr/>
      <w:r>
        <w:rPr>
          <w:rFonts w:ascii="Helvetica Light" w:hAnsi="Helvetica Light" w:cs="Helvetica Light"/>
          <w:sz w:val="24"/>
          <w:sz-cs w:val="24"/>
        </w:rPr>
        <w:t xml:space="preserve">* Comprehensive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Insurance Agents / Brokers</w:t>
      </w:r>
    </w:p>
    <w:p>
      <w:pPr/>
      <w:r>
        <w:rPr>
          <w:rFonts w:ascii="Helvetica Light" w:hAnsi="Helvetica Light" w:cs="Helvetica Light"/>
          <w:sz w:val="24"/>
          <w:sz-cs w:val="24"/>
        </w:rPr>
        <w:t xml:space="preserve">* Direct Sales</w:t>
      </w:r>
    </w:p>
    <w:p>
      <w:pPr/>
      <w:r>
        <w:rPr>
          <w:rFonts w:ascii="Helvetica Light" w:hAnsi="Helvetica Light" w:cs="Helvetica Light"/>
          <w:sz w:val="24"/>
          <w:sz-cs w:val="24"/>
        </w:rPr>
        <w:t xml:space="preserve">* Bancassurance</w:t>
      </w:r>
    </w:p>
    <w:p>
      <w:pPr/>
      <w:r>
        <w:rPr>
          <w:rFonts w:ascii="Helvetica Light" w:hAnsi="Helvetica Light" w:cs="Helvetica Light"/>
          <w:sz w:val="24"/>
          <w:sz-cs w:val="24"/>
        </w:rPr>
        <w:t xml:space="preserve">* Embedded / Platform Partnerships</w:t>
      </w:r>
    </w:p>
    <w:p>
      <w:pPr/>
      <w:r>
        <w:rPr>
          <w:rFonts w:ascii="Helvetica Light" w:hAnsi="Helvetica Light" w:cs="Helvetica Light"/>
          <w:sz w:val="24"/>
          <w:sz-cs w:val="24"/>
        </w:rPr>
        <w:t xml:space="preserve">* Aggregators &amp; Comparison Portals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Two-Wheelers</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Medium &amp; Heavy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Age* New Vehicles</w:t>
      </w:r>
    </w:p>
    <w:p>
      <w:pPr/>
      <w:r>
        <w:rPr>
          <w:rFonts w:ascii="Helvetica Light" w:hAnsi="Helvetica Light" w:cs="Helvetica Light"/>
          <w:sz w:val="24"/>
          <w:sz-cs w:val="24"/>
        </w:rPr>
        <w:t xml:space="preserve">* Used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motor insurance market size today, and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motor insurance market size is USD 2.13 trillion in 2025 and is projected to reach USD 3.13 trillion by 2031 at a 6.65%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the fastest in motor cover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 region with a projected 10.26% CAGR to 2031, supported by rising vehicle ownership, digital issuance, and EV adoption that expands the insured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gaining share in personal auto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and digital channels are projected to grow at a 9.74% CAGR to 2031, while embedded partnerships with OEMs and lenders accelerate quote-to-bind flows at the point of sale.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telematics and OEM-connected data affect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Telematics and OEM data improve segmentation and support usage-based pricing, and regulators are adding transparency rules for algorithmic pricing that use driving variables.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top cost pressures facing carriers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ADAS calibration, EV battery protocols, and parts inflation elevate repair severity and cycle times, which keeps near-term pressure on combined ratios despite pricing discipline.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segments show the strongest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Passenger cars anchor premium volume, while light commercial vehicles are the fastest growing due to e-commerce logistics and connected-fleet adoption that support dynamic underwriting.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