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Neobanking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[https://www.mordorintelligence.com/industry-reports/global-neobanking-market](https://www.mordorintelligence.com/industry-reports/global-neobanking-market)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8.18 trillion |</w:t>
      </w:r>
    </w:p>
    <w:p>
      <w:pPr/>
      <w:r>
        <w:rPr>
          <w:rFonts w:ascii="Helvetica Light" w:hAnsi="Helvetica Light" w:cs="Helvetica Light"/>
          <w:sz w:val="24"/>
          <w:sz-cs w:val="24"/>
        </w:rPr>
        <w:t xml:space="preserve">| **Projected Forecast (2031)** | USD 8.18 trillion |</w:t>
      </w:r>
    </w:p>
    <w:p>
      <w:pPr/>
      <w:r>
        <w:rPr>
          <w:rFonts w:ascii="Helvetica Light" w:hAnsi="Helvetica Light" w:cs="Helvetica Light"/>
          <w:sz w:val="24"/>
          <w:sz-cs w:val="24"/>
        </w:rPr>
        <w:t xml:space="preserve">| **Growth Rate (CAGR)** | 10.82 %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Neobanking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![Neobanking Market Share by Account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![Neobanking Market Share by Services,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8.18 Trillion | </w:t>
      </w:r>
    </w:p>
    <w:p>
      <w:pPr/>
      <w:r>
        <w:rPr>
          <w:rFonts w:ascii="Helvetica Light" w:hAnsi="Helvetica Light" w:cs="Helvetica Light"/>
          <w:sz w:val="24"/>
          <w:sz-cs w:val="24"/>
        </w:rPr>
        <w:t xml:space="preserve">Market Size (2031) | USD 13.67 Trillion | </w:t>
      </w:r>
    </w:p>
    <w:p>
      <w:pPr/>
      <w:r>
        <w:rPr>
          <w:rFonts w:ascii="Helvetica Light" w:hAnsi="Helvetica Light" w:cs="Helvetica Light"/>
          <w:sz w:val="24"/>
          <w:sz-cs w:val="24"/>
        </w:rPr>
        <w:t xml:space="preserve">Growth Rate (2026 - 2031) | 10.82 % | </w:t>
      </w:r>
    </w:p>
    <w:p>
      <w:pPr/>
      <w:r>
        <w:rPr>
          <w:rFonts w:ascii="Helvetica Light" w:hAnsi="Helvetica Light" w:cs="Helvetica Light"/>
          <w:sz w:val="24"/>
          <w:sz-cs w:val="24"/>
        </w:rPr>
        <w:t xml:space="preserve">Fastest Growing Market | Asia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Neobanking Market Analysis by Mordor IntelligenceThe neobanking market size is expected to grow from USD 7.38 trillion in 2025 to USD 8.18 trillion in 2026 and is forecast to reach USD 13.67 trillion by 2031 at 10.82% CAGR over 2026-2031. Rapid smartphone adoption, supportive open-banking rules, and customer demand for intuitive digital journeys fuel this expansion. Leading institutions such as Nubank, which now serves more than 110 million customers, and Chime, which completed a USD 864 million public offering in May 2025, show how digital-first models are moving into the financial mainstream[1]Nubank Investor Relations, “Q1 2025 Results,” n ubank.com. . Advances in artificial intelligence, real-time payments, and embedded-finance partnerships create multiple growth vectors that reinforce the neobanking market trajectory. Meanwhile, regulations like Europe’s Digital Operational Resilience Act standardize risk controls, sharpen competitive focus, and may accelerate consolidation as compliance costs rise.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account type, business accounts held 67.62% of the neobanking market share in 2025; savings accounts are projected to expand at a 51.20% CAGR through 2031.</w:t>
      </w:r>
    </w:p>
    <w:p>
      <w:pPr/>
      <w:r>
        <w:rPr>
          <w:rFonts w:ascii="Helvetica Light" w:hAnsi="Helvetica Light" w:cs="Helvetica Light"/>
          <w:sz w:val="24"/>
          <w:sz-cs w:val="24"/>
        </w:rPr>
        <w:t xml:space="preserve">* By services, mobile banking captured 46.88% revenue in 2025 of the neobanking market, while the loans segment is forecast to grow at a 52.35% CAGR to 2031.</w:t>
      </w:r>
    </w:p>
    <w:p>
      <w:pPr/>
      <w:r>
        <w:rPr>
          <w:rFonts w:ascii="Helvetica Light" w:hAnsi="Helvetica Light" w:cs="Helvetica Light"/>
          <w:sz w:val="24"/>
          <w:sz-cs w:val="24"/>
        </w:rPr>
        <w:t xml:space="preserve">* By application, enterprise use commanded 69.45% share of the neobanking market size in 2025; personal banking is advancing at a 55.10% CAGR through 2031.</w:t>
      </w:r>
    </w:p>
    <w:p>
      <w:pPr/>
      <w:r>
        <w:rPr>
          <w:rFonts w:ascii="Helvetica Light" w:hAnsi="Helvetica Light" w:cs="Helvetica Light"/>
          <w:sz w:val="24"/>
          <w:sz-cs w:val="24"/>
        </w:rPr>
        <w:t xml:space="preserve">* By geography, Europe led with 35.96% revenue share of the neobanking market in 2025, whereas Asia-Pacific is projected to post a 51.80%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Neobanking Market*Driver | (~) % Impact on CAGR Forecast | Geographic Relevance | Impact Timeline | </w:t>
      </w:r>
    </w:p>
    <w:p>
      <w:pPr/>
      <w:r>
        <w:rPr>
          <w:rFonts w:ascii="Helvetica Light" w:hAnsi="Helvetica Light" w:cs="Helvetica Light"/>
          <w:sz w:val="24"/>
          <w:sz-cs w:val="24"/>
        </w:rPr>
        <w:t xml:space="preserve">Rising smartphone &amp; internet penetration | 2.8% | Global, with strongest impact in APAC and Latin America | Medium term (2-4 years) | </w:t>
      </w:r>
    </w:p>
    <w:p>
      <w:pPr/>
      <w:r>
        <w:rPr>
          <w:rFonts w:ascii="Helvetica Light" w:hAnsi="Helvetica Light" w:cs="Helvetica Light"/>
          <w:sz w:val="24"/>
          <w:sz-cs w:val="24"/>
        </w:rPr>
        <w:t xml:space="preserve">Cost advantage of branch-less operating model | 1.5% | Global, particularly North America and Europe | Short term (≤ 2 years) | </w:t>
      </w:r>
    </w:p>
    <w:p>
      <w:pPr/>
      <w:r>
        <w:rPr>
          <w:rFonts w:ascii="Helvetica Light" w:hAnsi="Helvetica Light" w:cs="Helvetica Light"/>
          <w:sz w:val="24"/>
          <w:sz-cs w:val="24"/>
        </w:rPr>
        <w:t xml:space="preserve">Regulatory support for open banking &amp; fintech licenses | 0.8% | Europe, UK, Brazil, with expanding to APAC | Long term (≥ 4 years) | </w:t>
      </w:r>
    </w:p>
    <w:p>
      <w:pPr/>
      <w:r>
        <w:rPr>
          <w:rFonts w:ascii="Helvetica Light" w:hAnsi="Helvetica Light" w:cs="Helvetica Light"/>
          <w:sz w:val="24"/>
          <w:sz-cs w:val="24"/>
        </w:rPr>
        <w:t xml:space="preserve">SME demand for integrated financial tools | 0.7% | Global, concentrated in developed markets | Medium term (2-4 years) | </w:t>
      </w:r>
    </w:p>
    <w:p>
      <w:pPr/>
      <w:r>
        <w:rPr>
          <w:rFonts w:ascii="Helvetica Light" w:hAnsi="Helvetica Light" w:cs="Helvetica Light"/>
          <w:sz w:val="24"/>
          <w:sz-cs w:val="24"/>
        </w:rPr>
        <w:t xml:space="preserve">Real-time payment rails accelerating scale | 0.6% | Brazil (Pix), India (UPI), US (FedNow), Europe (SEPA Instant) | Short term (≤ 2 years) | </w:t>
      </w:r>
    </w:p>
    <w:p>
      <w:pPr/>
      <w:r>
        <w:rPr>
          <w:rFonts w:ascii="Helvetica Light" w:hAnsi="Helvetica Light" w:cs="Helvetica Light"/>
          <w:sz w:val="24"/>
          <w:sz-cs w:val="24"/>
        </w:rPr>
        <w:t xml:space="preserve">AI-driven hyper-personalization boosting retention | 0.5% | Global, led by technology-advanced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is moderate, with a handful of hyperscale’s controlling substantial customer bases yet leaving room for niche challengers. Nubank surpasses 110 million users by exploiting Brazil’s real-time rails and transparent fee model. Revolut and Klarna together serve about 135 million clients, leveraging global card schemes and merchant networks. WeBank invests more than 10% of annual revenue in R&amp;D, creating proprietary AI and cloud infrastructure that raises technical barriers. Traditional banks respond by launching digital-only spin-offs or embedding finance through API suites, intensifying rivalry.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dictate scale. Banking-as-a-Service operators provide turnkey compliance and ledger tools, letting brands add accounts without charters, though funding pressures are driving consolidation. Embedded-finance corridors expand into payroll platforms, marketplace ecosystems, and creator-economy apps, converting everyday touchpoints into account-opening funnels. Data ownership and analytics become the battleground; institutions with granular transaction insights can price risk, tailor rewards, and detect fraud faster.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mastery emerges as a competitive moat. Entities like N26 that proactively upgrade AML systems avoid growth pauses, while under-invested peers face penalties. Cyber-resilience requirements under DORA compel all players to audit cloud vendors and institute business-continuity testing. Institutions that meet these standards gain credibility with enterprise clients and larger depositors, reinforcing virtuous growth cycles in the neobanking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Neobanking Industry Leaders* Nubank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Revolut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Starling Bank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Neobanking Market Report ScopeThe Global Neo banking market is segmented by account type (Business account, Savings account), by services (Mobile-banking, Payments and money transfers, savings, Loans, Others), by application type (Personal, Enterprises, Other applications), and by Geography (North America, Europe, Asia-Pacific, Middle East, and Africa, and South America). The report offers market size and forecast values for the Neobanking Market in USD billion for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Account TypeBusiness Account | </w:t>
      </w:r>
    </w:p>
    <w:p>
      <w:pPr/>
      <w:r>
        <w:rPr>
          <w:rFonts w:ascii="Helvetica Light" w:hAnsi="Helvetica Light" w:cs="Helvetica Light"/>
          <w:sz w:val="24"/>
          <w:sz-cs w:val="24"/>
        </w:rPr>
        <w:t xml:space="preserve">Savings Account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neobanking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neobanking market size is USD 8.18 trillion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digital-first banking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revenue is forecast to rise to a 10.82% CAGR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see the fastest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register a 51.80% CAGR from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leads by account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accounts held 67.62% of neobanking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largest players?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Nubank, Revolut, Klarna, WeBank, and Chime are among the market leaders.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regulation shapes European digital banks?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Digital Operational Resilience Act sets unified operational-risk standards.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