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Pension Funds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Wealth, Asset Management &amp; Private Equity (Financial Services &amp; Investment Intelligence)  </w:t>
      </w:r>
    </w:p>
    <w:p>
      <w:pPr/>
      <w:r>
        <w:rPr>
          <w:rFonts w:ascii="Helvetica Light" w:hAnsi="Helvetica Light" w:cs="Helvetica Light"/>
          <w:sz w:val="24"/>
          <w:sz-cs w:val="24"/>
        </w:rPr>
        <w:t xml:space="preserve">&gt; **Source:** [https://www.mordorintelligence.com/industry-reports/global-pension-fund-industry](https://www.mordorintelligence.com/industry-reports/global-pension-fund-industry)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70.89 trillion |</w:t>
      </w:r>
    </w:p>
    <w:p>
      <w:pPr/>
      <w:r>
        <w:rPr>
          <w:rFonts w:ascii="Helvetica Light" w:hAnsi="Helvetica Light" w:cs="Helvetica Light"/>
          <w:sz w:val="24"/>
          <w:sz-cs w:val="24"/>
        </w:rPr>
        <w:t xml:space="preserve">| **Projected Forecast (2031)** | USD 70.89 trillion |</w:t>
      </w:r>
    </w:p>
    <w:p>
      <w:pPr/>
      <w:r>
        <w:rPr>
          <w:rFonts w:ascii="Helvetica Light" w:hAnsi="Helvetica Light" w:cs="Helvetica Light"/>
          <w:sz w:val="24"/>
          <w:sz-cs w:val="24"/>
        </w:rPr>
        <w:t xml:space="preserve">| **Growth Rate (CAGR)** | 5.55 %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Pension Funds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![Pension Funds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![Pension Funds Market Share by Plan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![Pension Funds Market Share by Geography of Investment,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![Pension Funds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70.89 Trillion | </w:t>
      </w:r>
    </w:p>
    <w:p>
      <w:pPr/>
      <w:r>
        <w:rPr>
          <w:rFonts w:ascii="Helvetica Light" w:hAnsi="Helvetica Light" w:cs="Helvetica Light"/>
          <w:sz w:val="24"/>
          <w:sz-cs w:val="24"/>
        </w:rPr>
        <w:t xml:space="preserve">Market Size (2031) | USD 92.83 Trillion | </w:t>
      </w:r>
    </w:p>
    <w:p>
      <w:pPr/>
      <w:r>
        <w:rPr>
          <w:rFonts w:ascii="Helvetica Light" w:hAnsi="Helvetica Light" w:cs="Helvetica Light"/>
          <w:sz w:val="24"/>
          <w:sz-cs w:val="24"/>
        </w:rPr>
        <w:t xml:space="preserve">Growth Rate (2026 - 2031) | 5.55 %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Pension Funds Market Analysis by Mordor IntelligencePension funds market size in 2026 is estimated at USD 70.89 trillion, growing from 2025 value of USD 67.16 trillion with 2031 projections showing USD 92.83 trillion, growing at 5.55% CAGR over 2026-2031. Gains rest on the decisive global swing from defined benefit (DB) to defined contribution (DC) plans, intensifying regulatory nudges that raise participation and contributions, and steady inflows from ageing workforces seeking secure post-retirement income. Asset-allocation patterns continue to migrate toward equities, infrastructure, and other private-market classes as funds search for yield while contending with low-rate backdrops. Meanwhile, digital tools that automate administration, enable member self-service, and lower back-office costs are allowing even mid-sized plans to replicate the scale advantages once enjoyed only by the largest sponsors. Competitive positioning is shifting from pure asset heft to a blend of cyber-secure operations, data-rich risk management, and credible climate strategies that help trustees meet fiduciary and societal expectations.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plan type, defined contribution schemes led with 56.85% of the global pension funds market share in 2025 and are projected to expand at a 6.32% CAGR to 2031.</w:t>
      </w:r>
    </w:p>
    <w:p>
      <w:pPr/>
      <w:r>
        <w:rPr>
          <w:rFonts w:ascii="Helvetica Light" w:hAnsi="Helvetica Light" w:cs="Helvetica Light"/>
          <w:sz w:val="24"/>
          <w:sz-cs w:val="24"/>
        </w:rPr>
        <w:t xml:space="preserve">* By investment strategy, active management still accounted for 54.35% share of the global pension funds market in 2025, while passive strategies are expected to record the fastest growth at 6.02% CAGR through 2031.</w:t>
      </w:r>
    </w:p>
    <w:p>
      <w:pPr/>
      <w:r>
        <w:rPr>
          <w:rFonts w:ascii="Helvetica Light" w:hAnsi="Helvetica Light" w:cs="Helvetica Light"/>
          <w:sz w:val="24"/>
          <w:sz-cs w:val="24"/>
        </w:rPr>
        <w:t xml:space="preserve">* By sponsor, public-sector plans held 68.75% of the global pension funds market share in 2025, but private-sector plans are projected to advance at a 6.91% CAGR of the pension funds market to 2031.</w:t>
      </w:r>
    </w:p>
    <w:p>
      <w:pPr/>
      <w:r>
        <w:rPr>
          <w:rFonts w:ascii="Helvetica Light" w:hAnsi="Helvetica Light" w:cs="Helvetica Light"/>
          <w:sz w:val="24"/>
          <w:sz-cs w:val="24"/>
        </w:rPr>
        <w:t xml:space="preserve">* By geography of investment, onshore assets comprised 72.75% of the global pension funds market size in 2025, yet offshore allocations are projected to grow 5.91% annually between 2026-2031.</w:t>
      </w:r>
    </w:p>
    <w:p>
      <w:pPr/>
      <w:r>
        <w:rPr>
          <w:rFonts w:ascii="Helvetica Light" w:hAnsi="Helvetica Light" w:cs="Helvetica Light"/>
          <w:sz w:val="24"/>
          <w:sz-cs w:val="24"/>
        </w:rPr>
        <w:t xml:space="preserve">* By region, North America commanded 70.65% of global assets of the pension funds market in 2025, whereas Asia-Pacific is forecasted to expand at a 6.65%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Pension Funds Market*Driver | (~) % Impact on CAGR Forecast | Geographic Relevance | Impact Timeline | </w:t>
      </w:r>
    </w:p>
    <w:p>
      <w:pPr/>
      <w:r>
        <w:rPr>
          <w:rFonts w:ascii="Helvetica Light" w:hAnsi="Helvetica Light" w:cs="Helvetica Light"/>
          <w:sz w:val="24"/>
          <w:sz-cs w:val="24"/>
        </w:rPr>
        <w:t xml:space="preserve">Shift from DB to DC schemes | +1.2% | Global, strongest in North America and Europe | Medium term (2-4 years) | </w:t>
      </w:r>
    </w:p>
    <w:p>
      <w:pPr/>
      <w:r>
        <w:rPr>
          <w:rFonts w:ascii="Helvetica Light" w:hAnsi="Helvetica Light" w:cs="Helvetica Light"/>
          <w:sz w:val="24"/>
          <w:sz-cs w:val="24"/>
        </w:rPr>
        <w:t xml:space="preserve">Ageing population and longevity risk | +0.9% | Global, especially OECD economies | Long term (≥ 4 years) | </w:t>
      </w:r>
    </w:p>
    <w:p>
      <w:pPr/>
      <w:r>
        <w:rPr>
          <w:rFonts w:ascii="Helvetica Light" w:hAnsi="Helvetica Light" w:cs="Helvetica Light"/>
          <w:sz w:val="24"/>
          <w:sz-cs w:val="24"/>
        </w:rPr>
        <w:t xml:space="preserve">Regulatory push for auto-enrolment | +0.8% | North America, Europe, Asia-Pacific | Short term (≤ 2 years) | </w:t>
      </w:r>
    </w:p>
    <w:p>
      <w:pPr/>
      <w:r>
        <w:rPr>
          <w:rFonts w:ascii="Helvetica Light" w:hAnsi="Helvetica Light" w:cs="Helvetica Light"/>
          <w:sz w:val="24"/>
          <w:sz-cs w:val="24"/>
        </w:rPr>
        <w:t xml:space="preserve">Diversification into alternative assets | +0.7% | Global, led by North America and Europe | Medium term (2-4 years) | </w:t>
      </w:r>
    </w:p>
    <w:p>
      <w:pPr/>
      <w:r>
        <w:rPr>
          <w:rFonts w:ascii="Helvetica Light" w:hAnsi="Helvetica Light" w:cs="Helvetica Light"/>
          <w:sz w:val="24"/>
          <w:sz-cs w:val="24"/>
        </w:rPr>
        <w:t xml:space="preserve">Tokenization of real assets | +0.4% | North America and Europe initially, widening globally | Long term (≥ 4 years) | </w:t>
      </w:r>
    </w:p>
    <w:p>
      <w:pPr/>
      <w:r>
        <w:rPr>
          <w:rFonts w:ascii="Helvetica Light" w:hAnsi="Helvetica Light" w:cs="Helvetica Light"/>
          <w:sz w:val="24"/>
          <w:sz-cs w:val="24"/>
        </w:rPr>
        <w:t xml:space="preserve">Climate-aligned infrastructure demand | +0.6% | Global, early uptake in Europe and North America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Competition is moderate and intensifying. The ten largest funds account for a considerable share of global assets, leaving room for mid-tier players that differentiate by domain expertise or technology. Canadian funds illustrate the edge conferred by in-house active capabilities and direct private-market execution. Acquisition momentum remains brisk: Mercer’s 2024 purchase of Cardano added USD 66 billion of assets, while its 2025 acquisition of SECOR bolstered outsourced-CIO bandwidth. Bulk annuity providers such as Legal &amp; General secured multi-scheme buy-ins worth GBP 785 million, signaling an active de-risking pipeline.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vendors that offer real-time data aggregation, cyber-secure cloud platforms, and AI-assisted customer service gain traction. Cyber threats loom large, with 77% of pension executives expecting elevated risk profiles in 2025, prompting stepped-up investment in zero-trust architectures and staff-training programs. Asset managers pivot toward climate-aligned strategies: CalPERS leads with USD 53 billion already deployed toward a USD 100 billion goal.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Emerging disruptors include tokenization start-ups that fractionalize infrastructure equity, reducing ticket sizes and unlocking diversified opportunities. Meanwhile, data providers harness natural-language processing to decode corporate climate disclosures, meeting trustees’ need for transparent ESG metrics while complementing established governance protocols.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Pension Funds Industry Leaders* CalSTRS (US)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Government Pension Investment Fund (Japan)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National Pension Service (South Korea)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ABP (Netherlands)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California Public Employees’ Retirement System (CalPERS)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study, the market is defined as the total value of assets under management held by pension funds that receive, administer, and invest retirement contributions for members across funded retirement plans.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exclude pay-as-you-go social security systems, individually purchased retirement accounts that are not pooled into pension funds, and sovereign wealth vehicles that are not tied to retirement income.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Plan Type* Defined Contribution (DC)</w:t>
      </w:r>
    </w:p>
    <w:p>
      <w:pPr/>
      <w:r>
        <w:rPr>
          <w:rFonts w:ascii="Helvetica Light" w:hAnsi="Helvetica Light" w:cs="Helvetica Light"/>
          <w:sz w:val="24"/>
          <w:sz-cs w:val="24"/>
        </w:rPr>
        <w:t xml:space="preserve">* Defined Benefit (DB)</w:t>
      </w:r>
    </w:p>
    <w:p>
      <w:pPr/>
      <w:r>
        <w:rPr>
          <w:rFonts w:ascii="Helvetica Light" w:hAnsi="Helvetica Light" w:cs="Helvetica Light"/>
          <w:sz w:val="24"/>
          <w:sz-cs w:val="24"/>
        </w:rPr>
        <w:t xml:space="preserve">* Hybrid and Others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Investment Strategy* Active</w:t>
      </w:r>
    </w:p>
    <w:p>
      <w:pPr/>
      <w:r>
        <w:rPr>
          <w:rFonts w:ascii="Helvetica Light" w:hAnsi="Helvetica Light" w:cs="Helvetica Light"/>
          <w:sz w:val="24"/>
          <w:sz-cs w:val="24"/>
        </w:rPr>
        <w:t xml:space="preserve">* Passive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Sponsor Type* Public-Sector Plans</w:t>
      </w:r>
    </w:p>
    <w:p>
      <w:pPr/>
      <w:r>
        <w:rPr>
          <w:rFonts w:ascii="Helvetica Light" w:hAnsi="Helvetica Light" w:cs="Helvetica Light"/>
          <w:sz w:val="24"/>
          <w:sz-cs w:val="24"/>
        </w:rPr>
        <w:t xml:space="preserve">* Private-Sector Plans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of Investment* Onshore</w:t>
      </w:r>
    </w:p>
    <w:p>
      <w:pPr/>
      <w:r>
        <w:rPr>
          <w:rFonts w:ascii="Helvetica Light" w:hAnsi="Helvetica Light" w:cs="Helvetica Light"/>
          <w:sz w:val="24"/>
          <w:sz-cs w:val="24"/>
        </w:rPr>
        <w:t xml:space="preserve">* Offshore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Region*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Colombia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United Kingdom</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Benelux (Belgium, Netherlands, and Luxembourg)</w:t>
      </w:r>
    </w:p>
    <w:p>
      <w:pPr/>
      <w:r>
        <w:rPr>
          <w:rFonts w:ascii="Helvetica Light" w:hAnsi="Helvetica Light" w:cs="Helvetica Light"/>
          <w:sz w:val="24"/>
          <w:sz-cs w:val="24"/>
        </w:rPr>
        <w:t xml:space="preserve">* Nordics (Sweden, Norway, Denmark, Finland, and Iceland)</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South-East Asia (Singapore, Indonesia, Malaysia, Thailand, Vietnam, and Philippines)</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United Arab Emirates</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of the pension funds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held USD 70.89 trillion in assets in 2026 and is projected to reach USD 92.83 trillion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plan type is expanding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Defined contribution schemes lead growth at a 6.32% CAGR, aided by auto-enrolment mandates and growing payroll contributions.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pension funds increasing allocations to alternative assets?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Persistent low yields in traditional bonds push funds toward infrastructure, private credit, and other alternatives that offer inflation-linked cash flows and diversification benefits.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regulators influencing pension savings rates?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Measures such as the SECURE 2.0 Act in the United States introduce mandatory enrollment and higher contribution rates, directly boosting funded assets.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role does technology play in the pension funds industry?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Digital administration, AI-driven member analytics, and cybersecurity solutions reduce operating costs, enhance engagement, and safeguard sensitive data, becoming critical differentiators among providers.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offers the strongest growth outlook?</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forecast to expand at a 6.65% CAGR through 2031, driven by rising contribution rates, regulatory reforms, and rapid middle-class expansion.</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