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r>
        <w:rPr>
          <w:rFonts w:ascii="Helvetica Light" w:hAnsi="Helvetica Light" w:cs="Helvetica Light"/>
          <w:sz w:val="24"/>
          <w:sz-cs w:val="24"/>
        </w:rPr>
        <w:t xml:space="preserve"># Biostimulants Market Size &amp; Share Analysis - Growth Trends and Forecast (2026 - 2031)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&gt; **Industry:** Biologicals, Biopesticides &amp; Crop Protection (Agriculture &amp; Agribusiness)  </w:t>
      </w:r>
    </w:p>
    <w:p>
      <w:pPr/>
      <w:r>
        <w:rPr>
          <w:rFonts w:ascii="Helvetica Light" w:hAnsi="Helvetica Light" w:cs="Helvetica Light"/>
          <w:sz w:val="24"/>
          <w:sz-cs w:val="24"/>
        </w:rPr>
        <w:t xml:space="preserve">&gt; **Source:** [https://www.mordorintelligence.com/industry-reports/global-plant-biostimulant-market-industry](https://www.mordorintelligence.com/industry-reports/global-plant-biostimulant-market-industry)  </w:t>
      </w:r>
    </w:p>
    <w:p>
      <w:pPr/>
      <w:r>
        <w:rPr>
          <w:rFonts w:ascii="Helvetica Light" w:hAnsi="Helvetica Light" w:cs="Helvetica Light"/>
          <w:sz w:val="24"/>
          <w:sz-cs w:val="24"/>
        </w:rPr>
        <w:t xml:space="preserve">&gt; **Scraped Date:** 2026-09-17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Executive Market Summary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Metric | Details |</w:t>
      </w:r>
    </w:p>
    <w:p>
      <w:pPr/>
      <w:r>
        <w:rPr>
          <w:rFonts w:ascii="Helvetica Light" w:hAnsi="Helvetica Light" w:cs="Helvetica Light"/>
          <w:sz w:val="24"/>
          <w:sz-cs w:val="24"/>
        </w:rPr>
        <w:t xml:space="preserve">| :--- | :--- |</w:t>
      </w:r>
    </w:p>
    <w:p>
      <w:pPr/>
      <w:r>
        <w:rPr>
          <w:rFonts w:ascii="Helvetica Light" w:hAnsi="Helvetica Light" w:cs="Helvetica Light"/>
          <w:sz w:val="24"/>
          <w:sz-cs w:val="24"/>
        </w:rPr>
        <w:t xml:space="preserve">| **Base Market Size** | USD 4.90 billion |</w:t>
      </w:r>
    </w:p>
    <w:p>
      <w:pPr/>
      <w:r>
        <w:rPr>
          <w:rFonts w:ascii="Helvetica Light" w:hAnsi="Helvetica Light" w:cs="Helvetica Light"/>
          <w:sz w:val="24"/>
          <w:sz-cs w:val="24"/>
        </w:rPr>
        <w:t xml:space="preserve">| **Projected Forecast (2031)** | USD 4.90 billion |</w:t>
      </w:r>
    </w:p>
    <w:p>
      <w:pPr/>
      <w:r>
        <w:rPr>
          <w:rFonts w:ascii="Helvetica Light" w:hAnsi="Helvetica Light" w:cs="Helvetica Light"/>
          <w:sz w:val="24"/>
          <w:sz-cs w:val="24"/>
        </w:rPr>
        <w:t xml:space="preserve">| **Growth Rate (CAGR)** | 10.10 % |</w:t>
      </w:r>
    </w:p>
    <w:p>
      <w:pPr/>
      <w:r>
        <w:rPr>
          <w:rFonts w:ascii="Helvetica Light" w:hAnsi="Helvetica Light" w:cs="Helvetica Light"/>
          <w:sz w:val="24"/>
          <w:sz-cs w:val="24"/>
        </w:rPr>
        <w:t xml:space="preserve">| **Largest Market Region** | N/A |</w:t>
      </w:r>
    </w:p>
    <w:p>
      <w:pPr/>
      <w:r>
        <w:rPr>
          <w:rFonts w:ascii="Helvetica Light" w:hAnsi="Helvetica Light" w:cs="Helvetica Light"/>
          <w:sz w:val="24"/>
          <w:sz-cs w:val="24"/>
        </w:rPr>
        <w:t xml:space="preserve">| **Fastest-Growing Region** | N/A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Visualizations &amp; Infographics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![Major players in Biostimulants industry](images/chart_2.png)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![Biostimulants Market (2026 - 2031)](images/chart_3.png)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![Biostimulants Market: Market Share by Form](images/chart_4.png)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![Biostimulants Market: Market Share by Crop Type](images/chart_5.png)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![Biostimulants Market CAGR (%), Growth Rate by Region](images/chart_6.png)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![Biostimulants Market Concentration](images/chart_7.png)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![research-methodology](images/chart_8.svg)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![footer background image](images/chart_11.png)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Facebook](images/chart_13.svg)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Pinterest](images/chart_15.svg)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Instagram](images/chart_16.svg)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![ESOMAR](images/chart_18.png)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![GPTW](images/chart_20.png)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Comprehensive Research Analysis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Overview Points List Flex 49 Share Feature End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OverviewStudy Period | 2021 - 2031 | </w:t>
      </w:r>
    </w:p>
    <w:p>
      <w:pPr/>
      <w:r>
        <w:rPr>
          <w:rFonts w:ascii="Helvetica Light" w:hAnsi="Helvetica Light" w:cs="Helvetica Light"/>
          <w:sz w:val="24"/>
          <w:sz-cs w:val="24"/>
        </w:rPr>
        <w:t xml:space="preserve">Market Size (2026) | USD 4.90 Billion | </w:t>
      </w:r>
    </w:p>
    <w:p>
      <w:pPr/>
      <w:r>
        <w:rPr>
          <w:rFonts w:ascii="Helvetica Light" w:hAnsi="Helvetica Light" w:cs="Helvetica Light"/>
          <w:sz w:val="24"/>
          <w:sz-cs w:val="24"/>
        </w:rPr>
        <w:t xml:space="preserve">Market Size (2031) | USD 7.94 Billion | </w:t>
      </w:r>
    </w:p>
    <w:p>
      <w:pPr/>
      <w:r>
        <w:rPr>
          <w:rFonts w:ascii="Helvetica Light" w:hAnsi="Helvetica Light" w:cs="Helvetica Light"/>
          <w:sz w:val="24"/>
          <w:sz-cs w:val="24"/>
        </w:rPr>
        <w:t xml:space="preserve">Growth Rate (2026 - 2031) | 10.10 % | </w:t>
      </w:r>
    </w:p>
    <w:p>
      <w:pPr/>
      <w:r>
        <w:rPr>
          <w:rFonts w:ascii="Helvetica Light" w:hAnsi="Helvetica Light" w:cs="Helvetica Light"/>
          <w:sz w:val="24"/>
          <w:sz-cs w:val="24"/>
        </w:rPr>
        <w:t xml:space="preserve">Fastest Growing Market | North America | </w:t>
      </w:r>
    </w:p>
    <w:p>
      <w:pPr/>
      <w:r>
        <w:rPr>
          <w:rFonts w:ascii="Helvetica Light" w:hAnsi="Helvetica Light" w:cs="Helvetica Light"/>
          <w:sz w:val="24"/>
          <w:sz-cs w:val="24"/>
        </w:rPr>
        <w:t xml:space="preserve">Largest Market | Europe | </w:t>
      </w:r>
    </w:p>
    <w:p>
      <w:pPr/>
      <w:r>
        <w:rPr>
          <w:rFonts w:ascii="Helvetica Light" w:hAnsi="Helvetica Light" w:cs="Helvetica Light"/>
          <w:sz w:val="24"/>
          <w:sz-cs w:val="24"/>
        </w:rPr>
        <w:t xml:space="preserve">Market Concentration | Low | </w:t>
      </w:r>
    </w:p>
    <w:p>
      <w:pPr/>
      <w:r>
        <w:rPr>
          <w:rFonts w:ascii="Helvetica Light" w:hAnsi="Helvetica Light" w:cs="Helvetica Light"/>
          <w:sz w:val="24"/>
          <w:sz-cs w:val="24"/>
        </w:rPr>
        <w:t xml:space="preserve">Major Players*Disclaimer: Major Players sorted in no particular order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Overview</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Biostimulants Market Analysis by Mordor Intelligence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biostimulants market size is projected to grow from USD 4.46 billion in 2025 to USD 4.90 billion in 2026 and reach USD 7.94 billion by 2031, registering a CAGR of 10.1% during 2026-2031. This growth trajectory reflects a shift in farm input strategies, with growers incorporating biostimulants as a standard component of crop management programs rather than limiting their use to field trials. The demand for biostimulants is outpacing that of conventional fertilizers as growers seek improved nutrient efficiency, enhanced tolerance to heat and water stress, and reduced exposure to fluctuations in fertilizer prices. Regulatory recognition in Europe has provided the biostimulants market with a clearer product identity. Additionally, production investments by major input suppliers are increasing the importance of scale, regulatory compliance, and integrated distribution in market competition. Feedstock concentration in seaweed extracts and limited microbial approval pathways in Europe are creating tighter supply conditions in certain segments of the market, favoring companies with secure sourcing and compliance capabilities. Furthermore, the biostimulants market is benefiting from climate-smart farming initiatives and soil-carbon programs, linking adoption not only to farm productivity but also to sustainability-driven revenue opportunities in key agricultural regions.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Key Report Takeaways* By form, amino acids accounted for the largest 30.7% of revenue share in 2025, while humic acid is set to expand at the fastest 12.6% CAGR from 2026 to 2031.</w:t>
      </w:r>
    </w:p>
    <w:p>
      <w:pPr/>
      <w:r>
        <w:rPr>
          <w:rFonts w:ascii="Helvetica Light" w:hAnsi="Helvetica Light" w:cs="Helvetica Light"/>
          <w:sz w:val="24"/>
          <w:sz-cs w:val="24"/>
        </w:rPr>
        <w:t xml:space="preserve">* By crop type, the biostimulants market share for the row crops segment accounted for the largest 74.2% in 2025, while the biostimulants market size for the horticultural crops segment is projected to grow at the fastest 10.9% CAGR from 2026 to 2031.</w:t>
      </w:r>
    </w:p>
    <w:p>
      <w:pPr/>
      <w:r>
        <w:rPr>
          <w:rFonts w:ascii="Helvetica Light" w:hAnsi="Helvetica Light" w:cs="Helvetica Light"/>
          <w:sz w:val="24"/>
          <w:sz-cs w:val="24"/>
        </w:rPr>
        <w:t xml:space="preserve">* By geography, Europe held the largest 38.3% of revenue share in 2025, while North America is poised to grow at the fastest 12.7% CAGR from 2026 to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Key Market Trends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Trends and InsightsDrivers Impact Analysis of Biostimulants Market*Driver | (~) % Impact on CAGR Forecast | Geographic Relevance | Impact Timeline | </w:t>
      </w:r>
    </w:p>
    <w:p>
      <w:pPr/>
      <w:r>
        <w:rPr>
          <w:rFonts w:ascii="Helvetica Light" w:hAnsi="Helvetica Light" w:cs="Helvetica Light"/>
          <w:sz w:val="24"/>
          <w:sz-cs w:val="24"/>
        </w:rPr>
        <w:t xml:space="preserve">Sustainable crop-input adoption | +2.0% | Global, led by North America and Europe | Medium term (2-4 years) | </w:t>
      </w:r>
    </w:p>
    <w:p>
      <w:pPr/>
      <w:r>
        <w:rPr>
          <w:rFonts w:ascii="Helvetica Light" w:hAnsi="Helvetica Light" w:cs="Helvetica Light"/>
          <w:sz w:val="24"/>
          <w:sz-cs w:val="24"/>
        </w:rPr>
        <w:t xml:space="preserve">Organic acreage and residue-sensitive value chains | +1.5% | Europe, South America, and Asia-Pacific | Medium term (2-4 years) | </w:t>
      </w:r>
    </w:p>
    <w:p>
      <w:pPr/>
      <w:r>
        <w:rPr>
          <w:rFonts w:ascii="Helvetica Light" w:hAnsi="Helvetica Light" w:cs="Helvetica Light"/>
          <w:sz w:val="24"/>
          <w:sz-cs w:val="24"/>
        </w:rPr>
        <w:t xml:space="preserve">Regulatory recognition and product-legitimacy gains | +1.2% | Europe, North America, and India | Medium term (2-4 years) | </w:t>
      </w:r>
    </w:p>
    <w:p>
      <w:pPr/>
      <w:r>
        <w:rPr>
          <w:rFonts w:ascii="Helvetica Light" w:hAnsi="Helvetica Light" w:cs="Helvetica Light"/>
          <w:sz w:val="24"/>
          <w:sz-cs w:val="24"/>
        </w:rPr>
        <w:t xml:space="preserve">Abiotic-stress and yield-stability proof points | +1.0% | Global, with highest urgency in the Middle East and North Africa and South Asia | Medium term (2-4 years) | </w:t>
      </w:r>
    </w:p>
    <w:p>
      <w:pPr/>
      <w:r>
        <w:rPr>
          <w:rFonts w:ascii="Helvetica Light" w:hAnsi="Helvetica Light" w:cs="Helvetica Light"/>
          <w:sz w:val="24"/>
          <w:sz-cs w:val="24"/>
        </w:rPr>
        <w:t xml:space="preserve">Carbon and nature-credit monetization pathways | +0.8% | North America and Europe | Long term (≥ 4 years) | </w:t>
      </w:r>
    </w:p>
    <w:p>
      <w:pPr/>
      <w:r>
        <w:rPr>
          <w:rFonts w:ascii="Helvetica Light" w:hAnsi="Helvetica Light" w:cs="Helvetica Light"/>
          <w:sz w:val="24"/>
          <w:sz-cs w:val="24"/>
        </w:rPr>
        <w:t xml:space="preserve">Seed and fertilizer-program integration | +0.7% | North America, Europe, and Asia-Pacific | Short term (≤ 2 years) | </w:t>
      </w:r>
    </w:p>
    <w:p>
      <w:pPr/>
      <w:r>
        <w:rPr>
          <w:rFonts w:ascii="Helvetica Light" w:hAnsi="Helvetica Light" w:cs="Helvetica Light"/>
          <w:sz w:val="24"/>
          <w:sz-cs w:val="24"/>
        </w:rPr>
        <w:t xml:space="preserve">Source: Mordor Intelligence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market is moderately fragmented, and competition is divided between diversified crop-input manufacturers and specialized biological-product suppliers. Key players such as Syngenta Crop Protection AG, BASF SE, UPL Limited, FMC Corporation, and Bayer AG compete alongside specialized companies like BioAtlantis Ltd. and Rovensa Next S.L. Large multinational suppliers leverage extensive distribution networks and regulatory resources, while specialized companies focus on crop-specific biological solutions and localized agronomic support within diverse agricultural production systems.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Competitive strategies increasingly focus on production capacity expansion, biological portfolio integration, and technology partnerships. Companies are enhancing their pipelines for microbial, amino acid, and seaweed-based products to improve stress management and nutrient efficiency in commercial agriculture. Strategic acquisitions and partnership agreements are accelerating as suppliers aim to gain quicker access to biological technologies and regional distribution networks. Product development is shifting toward integrated biological platforms rather than standalone formulations, reflecting the growing demand for combined crop nutrition and resilience solutions. Additionally, manufacturers are investing more in agronomic field validation and regulatory compliance to strengthen their commercial positioning across various agricultural markets and crop-production systems globally.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competitive environment is increasingly shifting toward integrated biological production platforms supported by large-scale manufacturing capacity and regional supply-chain control. For instance, Syngenta AG inaugurated a 22,000-square-meter biologicals facility in Orangeburg, South Carolina, in June 2025, with an annual production capacity of 16,000 metric tons of biostimulants[3]Source: Syngenta, “Syngenta to Become Global Leader in Biologicals; Expanding Nature Inspired Solutions for Farmers,” Syngenta, syngenta.com. Companies are increasingly integrating biological products with broader crop-input systems that address nutrient efficiency, stress management, and sustainability goals. Suppliers with strong regulatory expertise, advanced formulation capabilities, and localized agronomic support are enhancing their competitive positioning as the adoption of biological agriculture expands across global commercial farming operations.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Biostimulants Industry Leaders* UPL Limited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Syngenta Crop Protection AG (Syngenta Group)</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FMC Corporation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BASF SE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Bayer AG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*Disclaimer: Major Players sorted in no particular order</w:t>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Component Component 3 Scope Of The Report Bottom</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Global Biostimulants Market Report ScopeBiostimulants are natural or biologically derived substances and microorganisms that promote plant growth, improve nutrient efficiency, enhance stress tolerance, and boost crop quality. They are utilized in agriculture to strengthen plant resilience against abiotic stresses such as drought, salinity, and heat, while contributing to sustainable crop productivity.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biostimulants market report is segmented by form into amino acids, fulvic acid, humic acid, protein hydrolysates, seaweed extracts, and other biostimulants, by crop type into cash crops, horticultural crops, and row crops, and by geography into North America, South America, Europe, Asia-Pacific, the Middle East, and Africa. The market forecasts are provided in terms of value in USD and volume in metric tons.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By FormAmino Acids | </w:t>
      </w:r>
    </w:p>
    <w:p>
      <w:pPr/>
      <w:r>
        <w:rPr>
          <w:rFonts w:ascii="Helvetica Light" w:hAnsi="Helvetica Light" w:cs="Helvetica Light"/>
          <w:sz w:val="24"/>
          <w:sz-cs w:val="24"/>
        </w:rPr>
        <w:t xml:space="preserve">Fulvic Acid | </w:t>
      </w:r>
    </w:p>
    <w:p>
      <w:pPr/>
      <w:r>
        <w:rPr>
          <w:rFonts w:ascii="Helvetica Light" w:hAnsi="Helvetica Light" w:cs="Helvetica Light"/>
          <w:sz w:val="24"/>
          <w:sz-cs w:val="24"/>
        </w:rPr>
        <w:t xml:space="preserve">Humic Acid | </w:t>
      </w:r>
    </w:p>
    <w:p>
      <w:pPr/>
      <w:r>
        <w:rPr>
          <w:rFonts w:ascii="Helvetica Light" w:hAnsi="Helvetica Light" w:cs="Helvetica Light"/>
          <w:sz w:val="24"/>
          <w:sz-cs w:val="24"/>
        </w:rPr>
        <w:t xml:space="preserve">Protein Hydrolysates | </w:t>
      </w:r>
    </w:p>
    <w:p>
      <w:pPr/>
      <w:r>
        <w:rPr>
          <w:rFonts w:ascii="Helvetica Light" w:hAnsi="Helvetica Light" w:cs="Helvetica Light"/>
          <w:sz w:val="24"/>
          <w:sz-cs w:val="24"/>
        </w:rPr>
        <w:t xml:space="preserve">Seaweed Extracts | </w:t>
      </w:r>
    </w:p>
    <w:p>
      <w:pPr/>
      <w:r>
        <w:rPr>
          <w:rFonts w:ascii="Helvetica Light" w:hAnsi="Helvetica Light" w:cs="Helvetica Light"/>
          <w:sz w:val="24"/>
          <w:sz-cs w:val="24"/>
        </w:rPr>
        <w:t xml:space="preserve">Other Biostimulants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Segmentation Accordion Item</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By GeographyNorth America | United States | </w:t>
      </w:r>
    </w:p>
    <w:p>
      <w:pPr/>
      <w:r>
        <w:rPr>
          <w:rFonts w:ascii="Helvetica Light" w:hAnsi="Helvetica Light" w:cs="Helvetica Light"/>
          <w:sz w:val="24"/>
          <w:sz-cs w:val="24"/>
        </w:rPr>
        <w:t xml:space="preserve"> | Canada | </w:t>
      </w:r>
    </w:p>
    <w:p>
      <w:pPr/>
      <w:r>
        <w:rPr>
          <w:rFonts w:ascii="Helvetica Light" w:hAnsi="Helvetica Light" w:cs="Helvetica Light"/>
          <w:sz w:val="24"/>
          <w:sz-cs w:val="24"/>
        </w:rPr>
        <w:t xml:space="preserve"> | Mexico | </w:t>
      </w:r>
    </w:p>
    <w:p>
      <w:pPr/>
      <w:r>
        <w:rPr>
          <w:rFonts w:ascii="Helvetica Light" w:hAnsi="Helvetica Light" w:cs="Helvetica Light"/>
          <w:sz w:val="24"/>
          <w:sz-cs w:val="24"/>
        </w:rPr>
        <w:t xml:space="preserve"> | Rest of North America | </w:t>
      </w:r>
    </w:p>
    <w:p>
      <w:pPr/>
      <w:r>
        <w:rPr>
          <w:rFonts w:ascii="Helvetica Light" w:hAnsi="Helvetica Light" w:cs="Helvetica Light"/>
          <w:sz w:val="24"/>
          <w:sz-cs w:val="24"/>
        </w:rPr>
        <w:t xml:space="preserve">South America | Brazil | </w:t>
      </w:r>
    </w:p>
    <w:p>
      <w:pPr/>
      <w:r>
        <w:rPr>
          <w:rFonts w:ascii="Helvetica Light" w:hAnsi="Helvetica Light" w:cs="Helvetica Light"/>
          <w:sz w:val="24"/>
          <w:sz-cs w:val="24"/>
        </w:rPr>
        <w:t xml:space="preserve"> | Argentina | </w:t>
      </w:r>
    </w:p>
    <w:p>
      <w:pPr/>
      <w:r>
        <w:rPr>
          <w:rFonts w:ascii="Helvetica Light" w:hAnsi="Helvetica Light" w:cs="Helvetica Light"/>
          <w:sz w:val="24"/>
          <w:sz-cs w:val="24"/>
        </w:rPr>
        <w:t xml:space="preserve"> | Rest of South America | </w:t>
      </w:r>
    </w:p>
    <w:p>
      <w:pPr/>
      <w:r>
        <w:rPr>
          <w:rFonts w:ascii="Helvetica Light" w:hAnsi="Helvetica Light" w:cs="Helvetica Light"/>
          <w:sz w:val="24"/>
          <w:sz-cs w:val="24"/>
        </w:rPr>
        <w:t xml:space="preserve">Europe | Germany | </w:t>
      </w:r>
    </w:p>
    <w:p>
      <w:pPr/>
      <w:r>
        <w:rPr>
          <w:rFonts w:ascii="Helvetica Light" w:hAnsi="Helvetica Light" w:cs="Helvetica Light"/>
          <w:sz w:val="24"/>
          <w:sz-cs w:val="24"/>
        </w:rPr>
        <w:t xml:space="preserve"> | France | </w:t>
      </w:r>
    </w:p>
    <w:p>
      <w:pPr/>
      <w:r>
        <w:rPr>
          <w:rFonts w:ascii="Helvetica Light" w:hAnsi="Helvetica Light" w:cs="Helvetica Light"/>
          <w:sz w:val="24"/>
          <w:sz-cs w:val="24"/>
        </w:rPr>
        <w:t xml:space="preserve"> | Italy | </w:t>
      </w:r>
    </w:p>
    <w:p>
      <w:pPr/>
      <w:r>
        <w:rPr>
          <w:rFonts w:ascii="Helvetica Light" w:hAnsi="Helvetica Light" w:cs="Helvetica Light"/>
          <w:sz w:val="24"/>
          <w:sz-cs w:val="24"/>
        </w:rPr>
        <w:t xml:space="preserve"> | Spain | </w:t>
      </w:r>
    </w:p>
    <w:p>
      <w:pPr/>
      <w:r>
        <w:rPr>
          <w:rFonts w:ascii="Helvetica Light" w:hAnsi="Helvetica Light" w:cs="Helvetica Light"/>
          <w:sz w:val="24"/>
          <w:sz-cs w:val="24"/>
        </w:rPr>
        <w:t xml:space="preserve"> | United Kingdom | </w:t>
      </w:r>
    </w:p>
    <w:p>
      <w:pPr/>
      <w:r>
        <w:rPr>
          <w:rFonts w:ascii="Helvetica Light" w:hAnsi="Helvetica Light" w:cs="Helvetica Light"/>
          <w:sz w:val="24"/>
          <w:sz-cs w:val="24"/>
        </w:rPr>
        <w:t xml:space="preserve"> | Russia | </w:t>
      </w:r>
    </w:p>
    <w:p>
      <w:pPr/>
      <w:r>
        <w:rPr>
          <w:rFonts w:ascii="Helvetica Light" w:hAnsi="Helvetica Light" w:cs="Helvetica Light"/>
          <w:sz w:val="24"/>
          <w:sz-cs w:val="24"/>
        </w:rPr>
        <w:t xml:space="preserve"> | Netherlands | </w:t>
      </w:r>
    </w:p>
    <w:p>
      <w:pPr/>
      <w:r>
        <w:rPr>
          <w:rFonts w:ascii="Helvetica Light" w:hAnsi="Helvetica Light" w:cs="Helvetica Light"/>
          <w:sz w:val="24"/>
          <w:sz-cs w:val="24"/>
        </w:rPr>
        <w:t xml:space="preserve"> | Rest of Europe | </w:t>
      </w:r>
    </w:p>
    <w:p>
      <w:pPr/>
      <w:r>
        <w:rPr>
          <w:rFonts w:ascii="Helvetica Light" w:hAnsi="Helvetica Light" w:cs="Helvetica Light"/>
          <w:sz w:val="24"/>
          <w:sz-cs w:val="24"/>
        </w:rPr>
        <w:t xml:space="preserve">Asia-Pacific | China | </w:t>
      </w:r>
    </w:p>
    <w:p>
      <w:pPr/>
      <w:r>
        <w:rPr>
          <w:rFonts w:ascii="Helvetica Light" w:hAnsi="Helvetica Light" w:cs="Helvetica Light"/>
          <w:sz w:val="24"/>
          <w:sz-cs w:val="24"/>
        </w:rPr>
        <w:t xml:space="preserve"> | India | </w:t>
      </w:r>
    </w:p>
    <w:p>
      <w:pPr/>
      <w:r>
        <w:rPr>
          <w:rFonts w:ascii="Helvetica Light" w:hAnsi="Helvetica Light" w:cs="Helvetica Light"/>
          <w:sz w:val="24"/>
          <w:sz-cs w:val="24"/>
        </w:rPr>
        <w:t xml:space="preserve"> | Japan | </w:t>
      </w:r>
    </w:p>
    <w:p>
      <w:pPr/>
      <w:r>
        <w:rPr>
          <w:rFonts w:ascii="Helvetica Light" w:hAnsi="Helvetica Light" w:cs="Helvetica Light"/>
          <w:sz w:val="24"/>
          <w:sz-cs w:val="24"/>
        </w:rPr>
        <w:t xml:space="preserve"> | Australia | </w:t>
      </w:r>
    </w:p>
    <w:p>
      <w:pPr/>
      <w:r>
        <w:rPr>
          <w:rFonts w:ascii="Helvetica Light" w:hAnsi="Helvetica Light" w:cs="Helvetica Light"/>
          <w:sz w:val="24"/>
          <w:sz-cs w:val="24"/>
        </w:rPr>
        <w:t xml:space="preserve"> | Indonesia | </w:t>
      </w:r>
    </w:p>
    <w:p>
      <w:pPr/>
      <w:r>
        <w:rPr>
          <w:rFonts w:ascii="Helvetica Light" w:hAnsi="Helvetica Light" w:cs="Helvetica Light"/>
          <w:sz w:val="24"/>
          <w:sz-cs w:val="24"/>
        </w:rPr>
        <w:t xml:space="preserve"> | Thailand | </w:t>
      </w:r>
    </w:p>
    <w:p>
      <w:pPr/>
      <w:r>
        <w:rPr>
          <w:rFonts w:ascii="Helvetica Light" w:hAnsi="Helvetica Light" w:cs="Helvetica Light"/>
          <w:sz w:val="24"/>
          <w:sz-cs w:val="24"/>
        </w:rPr>
        <w:t xml:space="preserve"> | Vietnam | </w:t>
      </w:r>
    </w:p>
    <w:p>
      <w:pPr/>
      <w:r>
        <w:rPr>
          <w:rFonts w:ascii="Helvetica Light" w:hAnsi="Helvetica Light" w:cs="Helvetica Light"/>
          <w:sz w:val="24"/>
          <w:sz-cs w:val="24"/>
        </w:rPr>
        <w:t xml:space="preserve"> | Philippines | </w:t>
      </w:r>
    </w:p>
    <w:p>
      <w:pPr/>
      <w:r>
        <w:rPr>
          <w:rFonts w:ascii="Helvetica Light" w:hAnsi="Helvetica Light" w:cs="Helvetica Light"/>
          <w:sz w:val="24"/>
          <w:sz-cs w:val="24"/>
        </w:rPr>
        <w:t xml:space="preserve"> | Rest of Asia-Pacific | </w:t>
      </w:r>
    </w:p>
    <w:p>
      <w:pPr/>
      <w:r>
        <w:rPr>
          <w:rFonts w:ascii="Helvetica Light" w:hAnsi="Helvetica Light" w:cs="Helvetica Light"/>
          <w:sz w:val="24"/>
          <w:sz-cs w:val="24"/>
        </w:rPr>
        <w:t xml:space="preserve">Middle East | Saudi Arabia | </w:t>
      </w:r>
    </w:p>
    <w:p>
      <w:pPr/>
      <w:r>
        <w:rPr>
          <w:rFonts w:ascii="Helvetica Light" w:hAnsi="Helvetica Light" w:cs="Helvetica Light"/>
          <w:sz w:val="24"/>
          <w:sz-cs w:val="24"/>
        </w:rPr>
        <w:t xml:space="preserve"> | Iran | </w:t>
      </w:r>
    </w:p>
    <w:p>
      <w:pPr/>
      <w:r>
        <w:rPr>
          <w:rFonts w:ascii="Helvetica Light" w:hAnsi="Helvetica Light" w:cs="Helvetica Light"/>
          <w:sz w:val="24"/>
          <w:sz-cs w:val="24"/>
        </w:rPr>
        <w:t xml:space="preserve"> | Turkey | </w:t>
      </w:r>
    </w:p>
    <w:p>
      <w:pPr/>
      <w:r>
        <w:rPr>
          <w:rFonts w:ascii="Helvetica Light" w:hAnsi="Helvetica Light" w:cs="Helvetica Light"/>
          <w:sz w:val="24"/>
          <w:sz-cs w:val="24"/>
        </w:rPr>
        <w:t xml:space="preserve"> | Rest of Middle East | </w:t>
      </w:r>
    </w:p>
    <w:p>
      <w:pPr/>
      <w:r>
        <w:rPr>
          <w:rFonts w:ascii="Helvetica Light" w:hAnsi="Helvetica Light" w:cs="Helvetica Light"/>
          <w:sz w:val="24"/>
          <w:sz-cs w:val="24"/>
        </w:rPr>
        <w:t xml:space="preserve">Africa | South Africa | </w:t>
      </w:r>
    </w:p>
    <w:p>
      <w:pPr/>
      <w:r>
        <w:rPr>
          <w:rFonts w:ascii="Helvetica Light" w:hAnsi="Helvetica Light" w:cs="Helvetica Light"/>
          <w:sz w:val="24"/>
          <w:sz-cs w:val="24"/>
        </w:rPr>
        <w:t xml:space="preserve"> | Egypt | </w:t>
      </w:r>
    </w:p>
    <w:p>
      <w:pPr/>
      <w:r>
        <w:rPr>
          <w:rFonts w:ascii="Helvetica Light" w:hAnsi="Helvetica Light" w:cs="Helvetica Light"/>
          <w:sz w:val="24"/>
          <w:sz-cs w:val="24"/>
        </w:rPr>
        <w:t xml:space="preserve"> | Nigeria | </w:t>
      </w:r>
    </w:p>
    <w:p>
      <w:pPr/>
      <w:r>
        <w:rPr>
          <w:rFonts w:ascii="Helvetica Light" w:hAnsi="Helvetica Light" w:cs="Helvetica Light"/>
          <w:sz w:val="24"/>
          <w:sz-cs w:val="24"/>
        </w:rPr>
        <w:t xml:space="preserve"> | Rest of Africa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Frequently Asked Questions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is the estimated size of the biostimulants market in 2026?</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biostimulants market is estimated to be valued at USD 4.9 billion in 2026.</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form type leads global demand for biostimulants?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Amino acids lead by form with the largest 30.7% market share in 2025</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region is growing fastest in biostimulant demand?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North America is the fastest-growing region with a 12.7% CAGR from 2026 to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Why is Europe still the largest regional market for biostimulants?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Companies are investing because growers want better nutrient-use efficiency and stronger stress tolerance, while partnerships, acquisitions, and new production facilities are helping suppliers scale faster in this category.</w:t>
      </w:r>
    </w:p>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meta.xml><?xml version="1.0" encoding="utf-8"?>
<meta xmlns="http://schemas.apple.com/cocoa/2006/metadata">
  <generator>CocoaOOXMLWriter/2113.65</generator>
</meta>
</file>