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Private Equity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[https://www.mordorintelligence.com/industry-reports/global-private-equity-market](https://www.mordorintelligence.com/industry-reports/global-private-equity-market)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12.62 trillion |</w:t>
      </w:r>
    </w:p>
    <w:p>
      <w:pPr/>
      <w:r>
        <w:rPr>
          <w:rFonts w:ascii="Helvetica Light" w:hAnsi="Helvetica Light" w:cs="Helvetica Light"/>
          <w:sz w:val="24"/>
          <w:sz-cs w:val="24"/>
        </w:rPr>
        <w:t xml:space="preserve">| **Projected Forecast (2031)** | USD 12.62 trillion |</w:t>
      </w:r>
    </w:p>
    <w:p>
      <w:pPr/>
      <w:r>
        <w:rPr>
          <w:rFonts w:ascii="Helvetica Light" w:hAnsi="Helvetica Light" w:cs="Helvetica Light"/>
          <w:sz w:val="24"/>
          <w:sz-cs w:val="24"/>
        </w:rPr>
        <w:t xml:space="preserve">| **Growth Rate (CAGR)** | 11.13 %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Private Equity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Share by Fund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Share by Investments,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12.62 Trillion | </w:t>
      </w:r>
    </w:p>
    <w:p>
      <w:pPr/>
      <w:r>
        <w:rPr>
          <w:rFonts w:ascii="Helvetica Light" w:hAnsi="Helvetica Light" w:cs="Helvetica Light"/>
          <w:sz w:val="24"/>
          <w:sz-cs w:val="24"/>
        </w:rPr>
        <w:t xml:space="preserve">Market Size (2031) | USD 21.39 Trillion | </w:t>
      </w:r>
    </w:p>
    <w:p>
      <w:pPr/>
      <w:r>
        <w:rPr>
          <w:rFonts w:ascii="Helvetica Light" w:hAnsi="Helvetica Light" w:cs="Helvetica Light"/>
          <w:sz w:val="24"/>
          <w:sz-cs w:val="24"/>
        </w:rPr>
        <w:t xml:space="preserve">Growth Rate (2026 - 2031) | 11.13 %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Market Analysis by Mordor IntelligenceThe Private Equity Market size is expected to grow from USD 11.57 trillion in 2025 to USD 12.62 trillion in 2026 and is forecast to reach USD 21.39 trillion by 2031 at 11.13%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driven by USD 1.2 trillion in dry powder for buyouts as of mid-2025, alternative liquidity solutions, and increased deployment in high-conviction sectors. After valuation compression and exit bottlenecks in 2022-2023, 2025 saw global deal value reach USD 1.5 trillion in the first three quarters, with full-year projections of USD 1.4-2.0 trillion. Median buyout entry multiples stabilized at 11.9x EV/EBITDA in 2024, reflecting competition for quality assets despite tighter financing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secondaries market recorded USD 103 billion in transaction volumes in H1 2025, a 51% year-over-year increase, with full-year projections exceeding USD 210 billion. GP-led continuation vehicles accounted for 87% of GP-led volume and 16-19% of sponsor-backed exits in H1 2025. Distributions to LPs exceeded capital calls in H1 2024, but median DPI ratios for 2018-vintage funds remained at 0.6x versus the 0.8x norm. Retail investor access expanded through semi-liquid structures and evergreen funds, with aggregate NAV surpassing USD 400-427 billion in 2025, doubling from late-2023 levels, and private wealth contributing 18-22% of secondaries fundraising.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fund type, buyout strategies held a 60.17% share in 2025, while in the private equity market, secondaries &amp; fund‑of‑funds are expected to grow at the fastest 10.08% CAGR through 2031.</w:t>
      </w:r>
    </w:p>
    <w:p>
      <w:pPr/>
      <w:r>
        <w:rPr>
          <w:rFonts w:ascii="Helvetica Light" w:hAnsi="Helvetica Light" w:cs="Helvetica Light"/>
          <w:sz w:val="24"/>
          <w:sz-cs w:val="24"/>
        </w:rPr>
        <w:t xml:space="preserve">* By sector, technology captured the largest 29.44% share in 2025, whereas in the private equity market, energy &amp; power is projected to advance at a strong 11.46% CAGR through 2031.</w:t>
      </w:r>
    </w:p>
    <w:p>
      <w:pPr/>
      <w:r>
        <w:rPr>
          <w:rFonts w:ascii="Helvetica Light" w:hAnsi="Helvetica Light" w:cs="Helvetica Light"/>
          <w:sz w:val="24"/>
          <w:sz-cs w:val="24"/>
        </w:rPr>
        <w:t xml:space="preserve">* By investment size, large‑cap transactions commanded a 51.58% share in 2025, and within the private equity market, the lower middle market is forecast to expand at the fastest 12.50% CAGR through 2031.</w:t>
      </w:r>
    </w:p>
    <w:p>
      <w:pPr/>
      <w:r>
        <w:rPr>
          <w:rFonts w:ascii="Helvetica Light" w:hAnsi="Helvetica Light" w:cs="Helvetica Light"/>
          <w:sz w:val="24"/>
          <w:sz-cs w:val="24"/>
        </w:rPr>
        <w:t xml:space="preserve">* By geography, North America led with a 56.23% share in 2025, while in the private equity market, Asia‑Pacific is anticipated to record the highest growth at a 9.61%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Private Equity Market*Driver | (~) % Impact on CAGR Forecast | Geographic Relevance | Impact Timeline | </w:t>
      </w:r>
    </w:p>
    <w:p>
      <w:pPr/>
      <w:r>
        <w:rPr>
          <w:rFonts w:ascii="Helvetica Light" w:hAnsi="Helvetica Light" w:cs="Helvetica Light"/>
          <w:sz w:val="24"/>
          <w:sz-cs w:val="24"/>
        </w:rPr>
        <w:t xml:space="preserve">Record dry-powder balances seeking deployment | +2.8% | Global, concentrated in North America &amp; EU | Medium term (2-4 years) | </w:t>
      </w:r>
    </w:p>
    <w:p>
      <w:pPr/>
      <w:r>
        <w:rPr>
          <w:rFonts w:ascii="Helvetica Light" w:hAnsi="Helvetica Light" w:cs="Helvetica Light"/>
          <w:sz w:val="24"/>
          <w:sz-cs w:val="24"/>
        </w:rPr>
        <w:t xml:space="preserve">Rising allocations to alternatives by pension &amp; sovereign investors | +2.3% | Global, led by North America, increasing in APAC | Long term (≥ 4 years) | </w:t>
      </w:r>
    </w:p>
    <w:p>
      <w:pPr/>
      <w:r>
        <w:rPr>
          <w:rFonts w:ascii="Helvetica Light" w:hAnsi="Helvetica Light" w:cs="Helvetica Light"/>
          <w:sz w:val="24"/>
          <w:sz-cs w:val="24"/>
        </w:rPr>
        <w:t xml:space="preserve">Digital transformation demand for operational value-creation expertise | +2.1% | Global core, spillover to MEA and Latin America | Medium term (2-4 years) | </w:t>
      </w:r>
    </w:p>
    <w:p>
      <w:pPr/>
      <w:r>
        <w:rPr>
          <w:rFonts w:ascii="Helvetica Light" w:hAnsi="Helvetica Light" w:cs="Helvetica Light"/>
          <w:sz w:val="24"/>
          <w:sz-cs w:val="24"/>
        </w:rPr>
        <w:t xml:space="preserve">Liquidity unlocked through continuation &amp; secondary funds | +1.8% | Global, with North America &amp; Europe leading adoption | Short term (≤ 2 years) | </w:t>
      </w:r>
    </w:p>
    <w:p>
      <w:pPr/>
      <w:r>
        <w:rPr>
          <w:rFonts w:ascii="Helvetica Light" w:hAnsi="Helvetica Light" w:cs="Helvetica Light"/>
          <w:sz w:val="24"/>
          <w:sz-cs w:val="24"/>
        </w:rPr>
        <w:t xml:space="preserve">Retail-investor access via semi-liquid / 401(k) structures | +1.5% | National (US-centric), with regulatory pilots in EU/UK | Long term (≥ 4 years) | </w:t>
      </w:r>
    </w:p>
    <w:p>
      <w:pPr/>
      <w:r>
        <w:rPr>
          <w:rFonts w:ascii="Helvetica Light" w:hAnsi="Helvetica Light" w:cs="Helvetica Light"/>
          <w:sz w:val="24"/>
          <w:sz-cs w:val="24"/>
        </w:rPr>
        <w:t xml:space="preserve">Tokenisation of fund units enabling fractional ownership | +0.9% | National pilots (US, Singapore, EU), early-stage global spillover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private equity market is fragmented at the global level, yet competition intensified among scale managers as limited partners became more selective and capital remained concentrated in proven platforms. Large managers acquired peers more frequently in the last five years than in the prior period, which signaled consolidation around platforms with durable fundraising and operating capabilities. Performance persistence increased for top managers compared with prior vintages, while the gap between top and bottom quartiles widened, which elevated the premium on manager selection. Strategic buyers also competed actively for assets as they deployed balance sheets to pursue collaboration and longer integration horizons than most sponsors.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Operating value creation outperformed financial engineering as the primary source of returns, which increased emphasis on revenue acceleration, pricing, and AI-enabled productivity across the private equity market. Managers invested in operating partners and specialized talent for AI integration, pricing optimization, supply chain resilience, and data analytics to widen the operating delta at exit. Portfolio companies expanded AI use cases in 2025, and executives increased software budgets for AI compared with non-AI categories, which showed how digital adoption is now a baseline expectation for value creation. The private equity market saw active deployment across AI infrastructure and healthcare technology, where digital adoption maps to durable end demand and supports large-ticket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included under-owned industrial assets, real-asset adjacencies to digital buildouts, and lower middle market platforms with disciplined operating plans and multiple exit pathways. Infrastructure tied to AI workloads, renewable power, and grids presented multi-year deployment potential, with the largest managers raising dedicated capital to scale into these areas. Continuation vehicles matured into a core toolkit for liquidity and for extending ownership of high-conviction assets as managers optimized the hold period to realize operating plans. The private equity market also drew incremental retail capital through evergreen structures, which added a more stable and countercyclical investor base alongside traditional institutions.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 Industry Leaders* Bain Capital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BC Partners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Blackstone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Brookfield Asset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Carlyle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private equity market is sized as the value of capital managed and deployed by private equity funds globally, covering fund activity tied to acquiring equity stakes in companies that are not publicly listed, or that are taken private.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private credit, standalone infrastructure funds, standalone real estate funds, and hedge fund strategies that do not center on private equity ownership.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Fund Type* Buyout &amp; Growth</w:t>
      </w:r>
    </w:p>
    <w:p>
      <w:pPr/>
      <w:r>
        <w:rPr>
          <w:rFonts w:ascii="Helvetica Light" w:hAnsi="Helvetica Light" w:cs="Helvetica Light"/>
          <w:sz w:val="24"/>
          <w:sz-cs w:val="24"/>
        </w:rPr>
        <w:t xml:space="preserve">* Venture Capital</w:t>
      </w:r>
    </w:p>
    <w:p>
      <w:pPr/>
      <w:r>
        <w:rPr>
          <w:rFonts w:ascii="Helvetica Light" w:hAnsi="Helvetica Light" w:cs="Helvetica Light"/>
          <w:sz w:val="24"/>
          <w:sz-cs w:val="24"/>
        </w:rPr>
        <w:t xml:space="preserve">* Mezzanine &amp; Distressed</w:t>
      </w:r>
    </w:p>
    <w:p>
      <w:pPr/>
      <w:r>
        <w:rPr>
          <w:rFonts w:ascii="Helvetica Light" w:hAnsi="Helvetica Light" w:cs="Helvetica Light"/>
          <w:sz w:val="24"/>
          <w:sz-cs w:val="24"/>
        </w:rPr>
        <w:t xml:space="preserve">* Secondaries &amp; Fund of Funds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Sector* Technology (Software)</w:t>
      </w:r>
    </w:p>
    <w:p>
      <w:pPr/>
      <w:r>
        <w:rPr>
          <w:rFonts w:ascii="Helvetica Light" w:hAnsi="Helvetica Light" w:cs="Helvetica Light"/>
          <w:sz w:val="24"/>
          <w:sz-cs w:val="24"/>
        </w:rPr>
        <w:t xml:space="preserve">* Healthcare</w:t>
      </w:r>
    </w:p>
    <w:p>
      <w:pPr/>
      <w:r>
        <w:rPr>
          <w:rFonts w:ascii="Helvetica Light" w:hAnsi="Helvetica Light" w:cs="Helvetica Light"/>
          <w:sz w:val="24"/>
          <w:sz-cs w:val="24"/>
        </w:rPr>
        <w:t xml:space="preserve">* Real Estate and Services</w:t>
      </w:r>
    </w:p>
    <w:p>
      <w:pPr/>
      <w:r>
        <w:rPr>
          <w:rFonts w:ascii="Helvetica Light" w:hAnsi="Helvetica Light" w:cs="Helvetica Light"/>
          <w:sz w:val="24"/>
          <w:sz-cs w:val="24"/>
        </w:rPr>
        <w:t xml:space="preserve">* Financial Services</w:t>
      </w:r>
    </w:p>
    <w:p>
      <w:pPr/>
      <w:r>
        <w:rPr>
          <w:rFonts w:ascii="Helvetica Light" w:hAnsi="Helvetica Light" w:cs="Helvetica Light"/>
          <w:sz w:val="24"/>
          <w:sz-cs w:val="24"/>
        </w:rPr>
        <w:t xml:space="preserve">* Industrials</w:t>
      </w:r>
    </w:p>
    <w:p>
      <w:pPr/>
      <w:r>
        <w:rPr>
          <w:rFonts w:ascii="Helvetica Light" w:hAnsi="Helvetica Light" w:cs="Helvetica Light"/>
          <w:sz w:val="24"/>
          <w:sz-cs w:val="24"/>
        </w:rPr>
        <w:t xml:space="preserve">* Consumer &amp; Retail</w:t>
      </w:r>
    </w:p>
    <w:p>
      <w:pPr/>
      <w:r>
        <w:rPr>
          <w:rFonts w:ascii="Helvetica Light" w:hAnsi="Helvetica Light" w:cs="Helvetica Light"/>
          <w:sz w:val="24"/>
          <w:sz-cs w:val="24"/>
        </w:rPr>
        <w:t xml:space="preserve">* Energy &amp; Power</w:t>
      </w:r>
    </w:p>
    <w:p>
      <w:pPr/>
      <w:r>
        <w:rPr>
          <w:rFonts w:ascii="Helvetica Light" w:hAnsi="Helvetica Light" w:cs="Helvetica Light"/>
          <w:sz w:val="24"/>
          <w:sz-cs w:val="24"/>
        </w:rPr>
        <w:t xml:space="preserve">* Media &amp; Entertainment</w:t>
      </w:r>
    </w:p>
    <w:p>
      <w:pPr/>
      <w:r>
        <w:rPr>
          <w:rFonts w:ascii="Helvetica Light" w:hAnsi="Helvetica Light" w:cs="Helvetica Light"/>
          <w:sz w:val="24"/>
          <w:sz-cs w:val="24"/>
        </w:rPr>
        <w:t xml:space="preserve">* Telecom</w:t>
      </w:r>
    </w:p>
    <w:p>
      <w:pPr/>
      <w:r>
        <w:rPr>
          <w:rFonts w:ascii="Helvetica Light" w:hAnsi="Helvetica Light" w:cs="Helvetica Light"/>
          <w:sz w:val="24"/>
          <w:sz-cs w:val="24"/>
        </w:rPr>
        <w:t xml:space="preserve">* Others (Transportation,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Investments* Large Cap</w:t>
      </w:r>
    </w:p>
    <w:p>
      <w:pPr/>
      <w:r>
        <w:rPr>
          <w:rFonts w:ascii="Helvetica Light" w:hAnsi="Helvetica Light" w:cs="Helvetica Light"/>
          <w:sz w:val="24"/>
          <w:sz-cs w:val="24"/>
        </w:rPr>
        <w:t xml:space="preserve">* Upper Middle Market</w:t>
      </w:r>
    </w:p>
    <w:p>
      <w:pPr/>
      <w:r>
        <w:rPr>
          <w:rFonts w:ascii="Helvetica Light" w:hAnsi="Helvetica Light" w:cs="Helvetica Light"/>
          <w:sz w:val="24"/>
          <w:sz-cs w:val="24"/>
        </w:rPr>
        <w:t xml:space="preserve">* Lower Middle Market</w:t>
      </w:r>
    </w:p>
    <w:p>
      <w:pPr/>
      <w:r>
        <w:rPr>
          <w:rFonts w:ascii="Helvetica Light" w:hAnsi="Helvetica Light" w:cs="Helvetica Light"/>
          <w:sz w:val="24"/>
          <w:sz-cs w:val="24"/>
        </w:rPr>
        <w:t xml:space="preserve">* Small &amp; SMID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private equity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private equity market size is estimated at USD 19.96 trillion in 2026 and is projected to reach USD 37.85 trillion by 2031 at a 13.65%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fund types and sectors are leading and growing fastest in private equity?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Buyouts led with a 38.39% share in 2025, while secondaries and fund-of-funds are the fastest-growing at an 8.84% CAGR; technology held 32.87% share in 2025 and energy and power is the fastest-growing at an 11.38%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deal activity and liquidity in private equity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Elevated dry powder, reopened syndicated loan markets, and broad adoption of GP-led continuation vehicles and secondaries are driving deployment and unlocking exits, while retail evergreen vehicles add capital resilience.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offer the strongest momentum for private equity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51.87% share in 2025 with strong financing access, while Asia-Pacific is the fastest-growing at a 7.48% CAGR driven by India and Japan and rising infrastructure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interest rates and financing conditions affecting private equity transactions?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rates reduced leverage and pressured coverage, but 2025 easing and record syndicated loan volumes improved access for large-cap deals, which shifted value creation toward operating improvements.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strategies are top managers using to differentiate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firms emphasize operating value creation, AI integration, sector specialization, and liquidity solutions through continuation vehicles and secondaries to enhance returns and distributions.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