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Reinsurance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Insurance &amp; InsurTech (Financial Services &amp; Investment Intelligence)  </w:t>
      </w:r>
    </w:p>
    <w:p>
      <w:pPr/>
      <w:r>
        <w:rPr>
          <w:rFonts w:ascii="Helvetica Light" w:hAnsi="Helvetica Light" w:cs="Helvetica Light"/>
          <w:sz w:val="24"/>
          <w:sz-cs w:val="24"/>
        </w:rPr>
        <w:t xml:space="preserve">&gt; **Source:** [https://www.mordorintelligence.com/industry-reports/global-reinsurance-market](https://www.mordorintelligence.com/industry-reports/global-reinsurance-market)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508.02 billion |</w:t>
      </w:r>
    </w:p>
    <w:p>
      <w:pPr/>
      <w:r>
        <w:rPr>
          <w:rFonts w:ascii="Helvetica Light" w:hAnsi="Helvetica Light" w:cs="Helvetica Light"/>
          <w:sz w:val="24"/>
          <w:sz-cs w:val="24"/>
        </w:rPr>
        <w:t xml:space="preserve">| **Projected Forecast (2031)** | USD 508.02 billion |</w:t>
      </w:r>
    </w:p>
    <w:p>
      <w:pPr/>
      <w:r>
        <w:rPr>
          <w:rFonts w:ascii="Helvetica Light" w:hAnsi="Helvetica Light" w:cs="Helvetica Light"/>
          <w:sz w:val="24"/>
          <w:sz-cs w:val="24"/>
        </w:rPr>
        <w:t xml:space="preserve">| **Growth Rate (CAGR)** | 6.35 %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Reinsurance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![Reinsurance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![Reinsurance Market Share by Reinsurance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![Reinsurance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![Reinsurance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![Reinsurance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508.02 Billion | </w:t>
      </w:r>
    </w:p>
    <w:p>
      <w:pPr/>
      <w:r>
        <w:rPr>
          <w:rFonts w:ascii="Helvetica Light" w:hAnsi="Helvetica Light" w:cs="Helvetica Light"/>
          <w:sz w:val="24"/>
          <w:sz-cs w:val="24"/>
        </w:rPr>
        <w:t xml:space="preserve">Market Size (2031) | USD 691.13 Billion | </w:t>
      </w:r>
    </w:p>
    <w:p>
      <w:pPr/>
      <w:r>
        <w:rPr>
          <w:rFonts w:ascii="Helvetica Light" w:hAnsi="Helvetica Light" w:cs="Helvetica Light"/>
          <w:sz w:val="24"/>
          <w:sz-cs w:val="24"/>
        </w:rPr>
        <w:t xml:space="preserve">Growth Rate (2026 - 2031) | 6.35 %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Reinsurance Market Analysis by Mordor IntelligenceThe Reinsurance Market size in terms of premium value is expected to grow from USD 477.69 billion in 2025 to USD 508.02 billion in 2026 and is forecast to reach USD 691.13 billion by 2031 at 6.35%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catastrophe losses, tighter capital rules under IFRS 17, and a favorable pricing cycle are combining to make reinsurance capacity indispensable to primary insurers in both mature and emerging economies. Hard‐market pricing has restored underwriting profitability, while alternative capital continues to enlarge overall capacity even as investors become more selective. Demand is further amplified by rapid growth in specialty risks, most notably cyber, where traditional insurance alone struggles to meet coverage needs. Against this backdrop, reinsurers are accelerating digital transformation, embedding parametric triggers, and expanding direct relationships with cedents to preserve margins and unlock new revenue pools.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treaty reinsurance captured 76.20% of the reinsurance market size in 2025; facultative is advancing at an 8.05% CAGR through 2031. </w:t>
      </w:r>
    </w:p>
    <w:p>
      <w:pPr/>
      <w:r>
        <w:rPr>
          <w:rFonts w:ascii="Helvetica Light" w:hAnsi="Helvetica Light" w:cs="Helvetica Light"/>
          <w:sz w:val="24"/>
          <w:sz-cs w:val="24"/>
        </w:rPr>
        <w:t xml:space="preserve">* By line of business, property &amp; casualty accounted for 62.40% share of the reinsurance market size in 2025; specialty lines are growing at an 11.18% CAGR to 2031. </w:t>
      </w:r>
    </w:p>
    <w:p>
      <w:pPr/>
      <w:r>
        <w:rPr>
          <w:rFonts w:ascii="Helvetica Light" w:hAnsi="Helvetica Light" w:cs="Helvetica Light"/>
          <w:sz w:val="24"/>
          <w:sz-cs w:val="24"/>
        </w:rPr>
        <w:t xml:space="preserve">* By distribution channel, broker-mediated placements held 83.56% share of the reinsurance market size in 2025; direct writing is growing at an 8.65% CAGR through 2031. </w:t>
      </w:r>
    </w:p>
    <w:p>
      <w:pPr/>
      <w:r>
        <w:rPr>
          <w:rFonts w:ascii="Helvetica Light" w:hAnsi="Helvetica Light" w:cs="Helvetica Light"/>
          <w:sz w:val="24"/>
          <w:sz-cs w:val="24"/>
        </w:rPr>
        <w:t xml:space="preserve">* By capital source, traditional rated carriers retained 81.24% share of the reinsurance market in 2025; alternative capital is expanding at a 13.98% CAGR to 2031. </w:t>
      </w:r>
    </w:p>
    <w:p>
      <w:pPr/>
      <w:r>
        <w:rPr>
          <w:rFonts w:ascii="Helvetica Light" w:hAnsi="Helvetica Light" w:cs="Helvetica Light"/>
          <w:sz w:val="24"/>
          <w:sz-cs w:val="24"/>
        </w:rPr>
        <w:t xml:space="preserve">* By region, Europe led with 31.40% reinsurance market share in 2025; Asia-Pacific is projected to expand at a 7.23%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Reinsurance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Impact on CAGR Forecast | Geographic Relevance | Impact Timeline | </w:t>
      </w:r>
    </w:p>
    <w:p>
      <w:pPr/>
      <w:r>
        <w:rPr>
          <w:rFonts w:ascii="Helvetica Light" w:hAnsi="Helvetica Light" w:cs="Helvetica Light"/>
          <w:sz w:val="24"/>
          <w:sz-cs w:val="24"/>
        </w:rPr>
        <w:t xml:space="preserve">Growing insurance penetration in emerging economies | +1.2% | Asia-Pacific, Latin America, Africa | Medium term (2-4 years) | </w:t>
      </w:r>
    </w:p>
    <w:p>
      <w:pPr/>
      <w:r>
        <w:rPr>
          <w:rFonts w:ascii="Helvetica Light" w:hAnsi="Helvetica Light" w:cs="Helvetica Light"/>
          <w:sz w:val="24"/>
          <w:sz-cs w:val="24"/>
        </w:rPr>
        <w:t xml:space="preserve">Escalating climate-related NatCat losses raise demand | +1.8% | Global, concentrated in North America, Europe | Long term (≥ 4 years) | </w:t>
      </w:r>
    </w:p>
    <w:p>
      <w:pPr/>
      <w:r>
        <w:rPr>
          <w:rFonts w:ascii="Helvetica Light" w:hAnsi="Helvetica Light" w:cs="Helvetica Light"/>
          <w:sz w:val="24"/>
          <w:sz-cs w:val="24"/>
        </w:rPr>
        <w:t xml:space="preserve">Tight primary-insurer capital buffers post-IFRS 17 | +0.9% | Global, primarily Europe and developed markets | Short term (≤ 2 years) | </w:t>
      </w:r>
    </w:p>
    <w:p>
      <w:pPr/>
      <w:r>
        <w:rPr>
          <w:rFonts w:ascii="Helvetica Light" w:hAnsi="Helvetica Light" w:cs="Helvetica Light"/>
          <w:sz w:val="24"/>
          <w:sz-cs w:val="24"/>
        </w:rPr>
        <w:t xml:space="preserve">Hard-market pricing cycle boosts reinsurer returns | +0.7% | Global | Short term (≤ 2 years) | </w:t>
      </w:r>
    </w:p>
    <w:p>
      <w:pPr/>
      <w:r>
        <w:rPr>
          <w:rFonts w:ascii="Helvetica Light" w:hAnsi="Helvetica Light" w:cs="Helvetica Light"/>
          <w:sz w:val="24"/>
          <w:sz-cs w:val="24"/>
        </w:rPr>
        <w:t xml:space="preserve">Parametric &amp; cyber reinsurance innovation | +0.4% | North America, Europe, Asia-Pacific | Medium term (2-4 years) | </w:t>
      </w:r>
    </w:p>
    <w:p>
      <w:pPr/>
      <w:r>
        <w:rPr>
          <w:rFonts w:ascii="Helvetica Light" w:hAnsi="Helvetica Light" w:cs="Helvetica Light"/>
          <w:sz w:val="24"/>
          <w:sz-cs w:val="24"/>
        </w:rPr>
        <w:t xml:space="preserve">Embedded-finance platforms ceding micro-risk pools | +0.2% | Global, early adoption in developed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reinsurance competition centers on scale, capital strength, and technological capabilities. Munich Re, Swiss Re, and Hannover Re held leading positions in 2025 by combining diversified portfolios with disciplined underwriting, each reporting sub-90% combined ratios and robust solvency cushions. Digitally native challengers such as Conduit Re leverage cloud-based platforms to underwrite efficiently but still lack geographic breadth, leaving incumbent reinsurers dominant in multiline placements.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emphasize digital enablement and specialty diversification. Swiss Re’s alliance with a GenAI engine for P&amp;C underwriting showcases how machine learning can shorten quote times and refine rate adequacy. Munich Re’s share-buyback and elevated dividend highlight confidence in sustained earnings while preserving capacity for growth in specialty and cyber segments. Hannover Re’s pioneering cloud outage bond underscores first-mover advantage in parametric structures that compete with ILS funds for investor interest.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Alternative capital managers, including Fermat and Twelve Capital, are broadening collateralized offerings, yet rising coupon spreads suggest investors are demanding clearer risk transparency and longer-duration commitments. Brokers retain influence through proprietary placement platforms and portfolio analytics, with Aon and Gallagher leveraging data to negotiate multi-year deals that lock in client relationships. As regulators tighten AI governance and solvency rules, incumbents with advanced compliance infrastructures will likely consolidate share, though niche reinsurers that master specialty expertise can still thrive in defined verticals.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Reinsurance Industry Leaders* Munich 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Swiss 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Hannover Re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Berkshire Hathaway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SCOR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treats the reinsurance market as the total gross written premiums ceded to licensed reinsurers worldwide, spanning treaty and facultative arrangements across property and casualty as well as life and health lines. Risks placed through both broker-mediated and direct channels are captured, and figures are presented in constant 2025 US dollars to neutralize inflation.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internal group retrocession and primary insurance premiums sit outside this boundary.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Reinsurance Type* Facultative Reinsurance</w:t>
      </w:r>
    </w:p>
    <w:p>
      <w:pPr/>
      <w:r>
        <w:rPr>
          <w:rFonts w:ascii="Helvetica Light" w:hAnsi="Helvetica Light" w:cs="Helvetica Light"/>
          <w:sz w:val="24"/>
          <w:sz-cs w:val="24"/>
        </w:rPr>
        <w:t xml:space="preserve">* Treaty Reinsurance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Line of Business* Property &amp; Casualty</w:t>
      </w:r>
    </w:p>
    <w:p>
      <w:pPr/>
      <w:r>
        <w:rPr>
          <w:rFonts w:ascii="Helvetica Light" w:hAnsi="Helvetica Light" w:cs="Helvetica Light"/>
          <w:sz w:val="24"/>
          <w:sz-cs w:val="24"/>
        </w:rPr>
        <w:t xml:space="preserve">* Life &amp; Health</w:t>
      </w:r>
    </w:p>
    <w:p>
      <w:pPr/>
      <w:r>
        <w:rPr>
          <w:rFonts w:ascii="Helvetica Light" w:hAnsi="Helvetica Light" w:cs="Helvetica Light"/>
          <w:sz w:val="24"/>
          <w:sz-cs w:val="24"/>
        </w:rPr>
        <w:t xml:space="preserve">* Specialty (Aviation, Marine, Energy)</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Direct Writing</w:t>
      </w:r>
    </w:p>
    <w:p>
      <w:pPr/>
      <w:r>
        <w:rPr>
          <w:rFonts w:ascii="Helvetica Light" w:hAnsi="Helvetica Light" w:cs="Helvetica Light"/>
          <w:sz w:val="24"/>
          <w:sz-cs w:val="24"/>
        </w:rPr>
        <w:t xml:space="preserve">* Broker-Mediated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Capital Source* Traditional Rated Reinsurers</w:t>
      </w:r>
    </w:p>
    <w:p>
      <w:pPr/>
      <w:r>
        <w:rPr>
          <w:rFonts w:ascii="Helvetica Light" w:hAnsi="Helvetica Light" w:cs="Helvetica Light"/>
          <w:sz w:val="24"/>
          <w:sz-cs w:val="24"/>
        </w:rPr>
        <w:t xml:space="preserve">* Alternative Capital (ILS, Sidecars)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&amp;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 East &amp;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reinsurance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reinsurance market is projected to reach USD 508 billion in 2026 and is forecasted to reach USD 691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reinsurance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held the largest regional share at 31.40% in 2025, while Asia-Pacific is the fastest-growing region with a projected 7.24%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specialty lines such as cyber growing so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transformation and emerging risks outpace traditional coverage, driving an 11.18% CAGR in specialty ceded premium and attracting reinsurers to higher-margin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alternative capital influencing the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Insurance-linked securities and other collateralized structures are expanding at a 13.98% CAGR, supplying additional capacity but also prompting stricter transparency demands from investors.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