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Shared Office Spaces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Real Estate &amp; Property (Real Estate &amp; Construction)  </w:t>
      </w:r>
    </w:p>
    <w:p>
      <w:pPr/>
      <w:r>
        <w:rPr>
          <w:rFonts w:ascii="Helvetica Light" w:hAnsi="Helvetica Light" w:cs="Helvetica Light"/>
          <w:sz w:val="24"/>
          <w:sz-cs w:val="24"/>
        </w:rPr>
        <w:t xml:space="preserve">&gt; **Source:** [https://www.mordorintelligence.com/industry-reports/global-shared-office-spaces-market](https://www.mordorintelligence.com/industry-reports/global-shared-office-spaces-market)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65.22 billion |</w:t>
      </w:r>
    </w:p>
    <w:p>
      <w:pPr/>
      <w:r>
        <w:rPr>
          <w:rFonts w:ascii="Helvetica Light" w:hAnsi="Helvetica Light" w:cs="Helvetica Light"/>
          <w:sz w:val="24"/>
          <w:sz-cs w:val="24"/>
        </w:rPr>
        <w:t xml:space="preserve">| **Projected Forecast (2031)** | USD 65.22 billion |</w:t>
      </w:r>
    </w:p>
    <w:p>
      <w:pPr/>
      <w:r>
        <w:rPr>
          <w:rFonts w:ascii="Helvetica Light" w:hAnsi="Helvetica Light" w:cs="Helvetica Light"/>
          <w:sz w:val="24"/>
          <w:sz-cs w:val="24"/>
        </w:rPr>
        <w:t xml:space="preserve">| **Growth Rate (CAGR)** | 11.59 %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Shared Office Spaces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Office Spaces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Office Spaces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Office Spaces Market: Market Share by End Use](images/chart_5.png)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Office Spaces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Office Spaces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65.22 Billion | </w:t>
      </w:r>
    </w:p>
    <w:p>
      <w:pPr/>
      <w:r>
        <w:rPr>
          <w:rFonts w:ascii="Helvetica Light" w:hAnsi="Helvetica Light" w:cs="Helvetica Light"/>
          <w:sz w:val="24"/>
          <w:sz-cs w:val="24"/>
        </w:rPr>
        <w:t xml:space="preserve">Market Size (2031) | USD 112.83 Billion | </w:t>
      </w:r>
    </w:p>
    <w:p>
      <w:pPr/>
      <w:r>
        <w:rPr>
          <w:rFonts w:ascii="Helvetica Light" w:hAnsi="Helvetica Light" w:cs="Helvetica Light"/>
          <w:sz w:val="24"/>
          <w:sz-cs w:val="24"/>
        </w:rPr>
        <w:t xml:space="preserve">Growth Rate (2026 - 2031) | 11.59 %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Office Spaces Market Analysis by Mordor IntelligenceThe Shared Office Spaces Market size is projected to expand from USD 58.45 billion in 2025 and USD 65.22 billion in 2026 to USD 112.83 billion by 2031, registering a CAGR of 11.59%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Corporate real-estate strategy is shifting toward capital-light, distributed footprints that align occupancy costs with volatile headcounts, pushing landlords and enterprises to favor turnkey flex centers over fixed long-term leases. Co-working spaces held 58.1% of 2025 revenue, but the virtual and hybrid “Others” segment is expanding fastest as clients package digital addresses and on-demand meeting rooms with limited desk use. Information Technology and IT-enabled Services controlled 35.6% of demand in 2025; however, life sciences, energy, and legal teams are adopting flex models for episodic projects, driving double-digit growth. Asia-Pacific contributed 36.9% of revenue, led by India’s march to 105 million sq ft of stock by 2026 and China’s operator consolidation after sub-lease rule changes. Meanwhile, South America is the high-growth geography, buoyed by WeWork’s 49.9% stake in WeWork Brasil that anchors expansion in São Paulo’s startup belt.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co-working spaces led with a 58.1% revenue share in 2025; the Others segment is forecast to expand at a 12.11% CAGR to 2031. </w:t>
      </w:r>
    </w:p>
    <w:p>
      <w:pPr/>
      <w:r>
        <w:rPr>
          <w:rFonts w:ascii="Helvetica Light" w:hAnsi="Helvetica Light" w:cs="Helvetica Light"/>
          <w:sz w:val="24"/>
          <w:sz-cs w:val="24"/>
        </w:rPr>
        <w:t xml:space="preserve">* By sector, Information Technology and IT-enabled Services held 35.6% of 2025 revenue; Other Services are projected to grow at a 12.41% CAGR through 2031. </w:t>
      </w:r>
    </w:p>
    <w:p>
      <w:pPr/>
      <w:r>
        <w:rPr>
          <w:rFonts w:ascii="Helvetica Light" w:hAnsi="Helvetica Light" w:cs="Helvetica Light"/>
          <w:sz w:val="24"/>
          <w:sz-cs w:val="24"/>
        </w:rPr>
        <w:t xml:space="preserve">* By end use, enterprises accounted for 53.1% of 2025 demand; start-ups and freelancers are set to advance at a 12.78% CAGR by 2031. </w:t>
      </w:r>
    </w:p>
    <w:p>
      <w:pPr/>
      <w:r>
        <w:rPr>
          <w:rFonts w:ascii="Helvetica Light" w:hAnsi="Helvetica Light" w:cs="Helvetica Light"/>
          <w:sz w:val="24"/>
          <w:sz-cs w:val="24"/>
        </w:rPr>
        <w:t xml:space="preserve">* By region, Asia-Pacific captured 36.9% of 2025 sales; South America is expected to register a 12.98%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Shared Office Spaces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Hybrid work normalization is increasing demand for flexible desks and short-term offices | +3.2% | Global, concentrated in North America, Europe, APAC | Medium term (2-4 years) | </w:t>
      </w:r>
    </w:p>
    <w:p>
      <w:pPr/>
      <w:r>
        <w:rPr>
          <w:rFonts w:ascii="Helvetica Light" w:hAnsi="Helvetica Light" w:cs="Helvetica Light"/>
          <w:sz w:val="24"/>
          <w:sz-cs w:val="24"/>
        </w:rPr>
        <w:t xml:space="preserve">Enterprise adoption of managed flexible space replacing long-term lease commitments | +2.8% | North America, Europe, APAC hubs | Long term (≥ 4 years) | </w:t>
      </w:r>
    </w:p>
    <w:p>
      <w:pPr/>
      <w:r>
        <w:rPr>
          <w:rFonts w:ascii="Helvetica Light" w:hAnsi="Helvetica Light" w:cs="Helvetica Light"/>
          <w:sz w:val="24"/>
          <w:sz-cs w:val="24"/>
        </w:rPr>
        <w:t xml:space="preserve">Startup and SME growth preferring plug-and-play offices with low upfront capex | +2.1% | APAC, South America, Middle East | Medium term (2-4 years) | </w:t>
      </w:r>
    </w:p>
    <w:p>
      <w:pPr/>
      <w:r>
        <w:rPr>
          <w:rFonts w:ascii="Helvetica Light" w:hAnsi="Helvetica Light" w:cs="Helvetica Light"/>
          <w:sz w:val="24"/>
          <w:sz-cs w:val="24"/>
        </w:rPr>
        <w:t xml:space="preserve">Landlords partnering with operators to monetize vacant floors through flex conversion | +1.9% | North America, the UK, Germany, and France | Short term (≤ 2 years) | </w:t>
      </w:r>
    </w:p>
    <w:p>
      <w:pPr/>
      <w:r>
        <w:rPr>
          <w:rFonts w:ascii="Helvetica Light" w:hAnsi="Helvetica Light" w:cs="Helvetica Light"/>
          <w:sz w:val="24"/>
          <w:sz-cs w:val="24"/>
        </w:rPr>
        <w:t xml:space="preserve">Demand for distributed hub-and-spoke networks supporting multi-city access for teams | +1.6% | Global multinationals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moderate and influenced by differing risk models. IWG operates 3,751 centers across 120 countries through a franchise and management-agreement strategy, which keeps assets off its balance sheet and enables rapid expansion. By contrast, WeWork’s legacy master-lease inventory led to its 2023 bankruptcy; the firm has since jettisoned over 100 loss-making sites and reoriented toward management deals while anchoring growth via its Brazilian joint venture. CBRE’s USD 400 million swoop on Industrious gives the brokerage heft in flex operations and a captive pipeline of landlord clients seeking turnkey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the next battleground. Yardi’s January 2025 purchase of Deskpass and Hubble folds frictionless booking marketplaces into a broader PropTech stack, threatening to disintermediate traditional operators by connecting end users directly with vacant inventory. Operators are layering IoT sensors, AI-based occupancy analytics, and app-controlled access to raise service levels and optimize desk yield. Sustainability credentials have become table stakes: LEED or WELL certifications and low-carbon fit-outs win corporate mandates driven by ESG scorecards. Meanwhile, pricing sparring is fiercest in global CBDs, where desk rates fall 15-20% to sustain occupancy as average employee attendance settles below three days a week.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growth hinges on secondary cities and landlord partnerships. Players such as JustCo and Convene are moving into Kuala Lumpur, Manila, and Boston, respectively, tailoring premium hospitality and event programming to local demand. IPO-bound Indian operators are banking on Tier-2 city expansion supported by government startup hubs and 5G rollout. Market entry barriers remain low, yet brand strength, technology adoption, and landlord alliances determine survival as capital costs rise and profitability overtakes blitz-scale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Office Spaces Industry Leaders* IWG plc (Regus, Spaces, Signature, HQ)</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WeWork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Industrious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CBRE Group – Hana/Flex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Servcorp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Shared Office Spaces Market Report ScopeShared office space or coworking space is an arrangements in which workers for different companies share an office space. It allows cost savings and convenience using common infrastructures, such as equipment, utilities and receptionist and custodial services, and in some cases refreshments and parcel acceptance services. It is attractive to independent contractors, independent scientists, remote workers, digital nomads, and people who travel frequently.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Shared Office Spaces Market Report is Segmented by Type (Co-Working Space, Serviced Offices/Executive Suites, Others), by Sector (IT &amp; ITES, BFSI, Business Consulting &amp; Professional Service, Other Services), by End Use (Freelancers, Enterprises, Start-Ups &amp; Others), and by Geography (North America, South America, Europe, Middle East and Africa, Asia-Pacific).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TypeCo-Working Space | </w:t>
      </w:r>
    </w:p>
    <w:p>
      <w:pPr/>
      <w:r>
        <w:rPr>
          <w:rFonts w:ascii="Helvetica Light" w:hAnsi="Helvetica Light" w:cs="Helvetica Light"/>
          <w:sz w:val="24"/>
          <w:sz-cs w:val="24"/>
        </w:rPr>
        <w:t xml:space="preserve">Serviced Offices / Executive Suites | </w:t>
      </w:r>
    </w:p>
    <w:p>
      <w:pPr/>
      <w:r>
        <w:rPr>
          <w:rFonts w:ascii="Helvetica Light" w:hAnsi="Helvetica Light" w:cs="Helvetica Light"/>
          <w:sz w:val="24"/>
          <w:sz-cs w:val="24"/>
        </w:rPr>
        <w:t xml:space="preserve">Others (Hybrid, Virtual Office)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shared office spaces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112.83 billion by 2031, expanding at an 11.59%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currently holds the largest revenue share?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Co-working spaces led with 58.1% of global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geography is expected to grow fastest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propelled by Brazil's flex-space adoption, is projected to clock a 12.98%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enterprises shifting to managed flexible space?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Managed agreements let corporations avoid multiyear lease liabilities, outsource facility services, and scale space up or down on 90-day notice.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landlords responding to elevated vacancy?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Many convert 10-20% of leasable floors into coworking through revenue-share partnerships that offset fit-out costs and boost occupancy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moves are reshaping competition?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deals include CBRE's USD 400 million purchase of Industrious, IWG's acquisition of Design Offices, and WeWork's investment in its Brazilian joint venture.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