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Graphene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[https://www.mordorintelligence.com/industry-reports/graphene-market](https://www.mordorintelligence.com/industry-reports/graphene-market)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15.20 billion |</w:t>
      </w:r>
    </w:p>
    <w:p>
      <w:pPr/>
      <w:r>
        <w:rPr>
          <w:rFonts w:ascii="Helvetica Light" w:hAnsi="Helvetica Light" w:cs="Helvetica Light"/>
          <w:sz w:val="24"/>
          <w:sz-cs w:val="24"/>
        </w:rPr>
        <w:t xml:space="preserve">| **Projected Forecast (2031)** | USD 15.20 billion |</w:t>
      </w:r>
    </w:p>
    <w:p>
      <w:pPr/>
      <w:r>
        <w:rPr>
          <w:rFonts w:ascii="Helvetica Light" w:hAnsi="Helvetica Light" w:cs="Helvetica Light"/>
          <w:sz w:val="24"/>
          <w:sz-cs w:val="24"/>
        </w:rPr>
        <w:t xml:space="preserve">| **Growth Rate (CAGR)** | 39.18 %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Graphene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Market: Market Share by End-user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Market -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2.91 Billion | </w:t>
      </w:r>
    </w:p>
    <w:p>
      <w:pPr/>
      <w:r>
        <w:rPr>
          <w:rFonts w:ascii="Helvetica Light" w:hAnsi="Helvetica Light" w:cs="Helvetica Light"/>
          <w:sz w:val="24"/>
          <w:sz-cs w:val="24"/>
        </w:rPr>
        <w:t xml:space="preserve">Market Size (2031) | USD 15.20 Billion | </w:t>
      </w:r>
    </w:p>
    <w:p>
      <w:pPr/>
      <w:r>
        <w:rPr>
          <w:rFonts w:ascii="Helvetica Light" w:hAnsi="Helvetica Light" w:cs="Helvetica Light"/>
          <w:sz w:val="24"/>
          <w:sz-cs w:val="24"/>
        </w:rPr>
        <w:t xml:space="preserve">Growth Rate (2026 - 2031) | 39.18 %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Market Analysis by Mordor IntelligenceThe Graphene Market size was valued at USD 2.09 billion in 2025 and is estimated to grow from USD 2.91 billion in 2026 to reach USD 15.20 billion by 2031, at a CAGR of 39.18% during the forecast period (2026-2031). Demand momentum is strongest where weight, thermal, or electrochemical limits constrain incumbent materials, particularly in aerospace composites, grid-scale batteries, and sub-3 nm semiconductors. Sovereign funding amplifies this pull: the United States earmarked USD 140 million in 2025 for graphene-enhanced anode manufacturing, while the European Commission continues to subsidize pilot lines that compress scale-up risk for small and mid-sized producers. Cost parity against carbon nanotubes remains distant, yet China’s vertically integrated clusters narrow the gap by 40% against Western equivalents, accelerating commoditization in polymer masterbatches and anti-corrosion coatings. Patent filings rose 34% year-over-year in 2025, concentrated in 5G electromagnetic-interference foams and flexible electronics, signaling that intellectual-property intensity rather than raw tonnage will differentiate winners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graphene nanoplatelets held 56.14% of the graphene market share in 2025; graphene nanoplatelets are projected to expand at a 44.63% CAGR through 2031.</w:t>
      </w:r>
    </w:p>
    <w:p>
      <w:pPr/>
      <w:r>
        <w:rPr>
          <w:rFonts w:ascii="Helvetica Light" w:hAnsi="Helvetica Light" w:cs="Helvetica Light"/>
          <w:sz w:val="24"/>
          <w:sz-cs w:val="24"/>
        </w:rPr>
        <w:t xml:space="preserve">* By application, energy storage and harvesting are forecast to post a 46.20% CAGR to 2031, while composites led with 35.14% of the graphene market size in 2025.</w:t>
      </w:r>
    </w:p>
    <w:p>
      <w:pPr/>
      <w:r>
        <w:rPr>
          <w:rFonts w:ascii="Helvetica Light" w:hAnsi="Helvetica Light" w:cs="Helvetica Light"/>
          <w:sz w:val="24"/>
          <w:sz-cs w:val="24"/>
        </w:rPr>
        <w:t xml:space="preserve">* By end-user industry, electronics and telecommunications commanded 53.21% revenue in 2025; biomedical and healthcare are advancing at a 46.07% CAGR through 2031.</w:t>
      </w:r>
    </w:p>
    <w:p>
      <w:pPr/>
      <w:r>
        <w:rPr>
          <w:rFonts w:ascii="Helvetica Light" w:hAnsi="Helvetica Light" w:cs="Helvetica Light"/>
          <w:sz w:val="24"/>
          <w:sz-cs w:val="24"/>
        </w:rPr>
        <w:t xml:space="preserve">* By geography, Asia-Pacific generated 45.23% of 2025 revenue and is expected to grow at a 45.69% CAGR to 2031, sustaining the largest regional graphene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Graphene Market*Driver | (~) % Impact on CAGR Forecast | Geographic Relevance | Impact Timeline | </w:t>
      </w:r>
    </w:p>
    <w:p>
      <w:pPr/>
      <w:r>
        <w:rPr>
          <w:rFonts w:ascii="Helvetica Light" w:hAnsi="Helvetica Light" w:cs="Helvetica Light"/>
          <w:sz w:val="24"/>
          <w:sz-cs w:val="24"/>
        </w:rPr>
        <w:t xml:space="preserve">Aerospace adoption of graphene composites | +6.2% | North America &amp; Europe, emerging in APAC | Medium term (2-4 years) | </w:t>
      </w:r>
    </w:p>
    <w:p>
      <w:pPr/>
      <w:r>
        <w:rPr>
          <w:rFonts w:ascii="Helvetica Light" w:hAnsi="Helvetica Light" w:cs="Helvetica Light"/>
          <w:sz w:val="24"/>
          <w:sz-cs w:val="24"/>
        </w:rPr>
        <w:t xml:space="preserve">Graphene anti-corrosion coatings in desalination | +4.8% | Middle East, North Africa, APAC coastal regions | Long term (≥ 4 years) | </w:t>
      </w:r>
    </w:p>
    <w:p>
      <w:pPr/>
      <w:r>
        <w:rPr>
          <w:rFonts w:ascii="Helvetica Light" w:hAnsi="Helvetica Light" w:cs="Helvetica Light"/>
          <w:sz w:val="24"/>
          <w:sz-cs w:val="24"/>
        </w:rPr>
        <w:t xml:space="preserve">Energy-storage retrofits using graphene anodes | +9.1% | Global, highest in APAC and North America | Short term (≤ 2 years) | </w:t>
      </w:r>
    </w:p>
    <w:p>
      <w:pPr/>
      <w:r>
        <w:rPr>
          <w:rFonts w:ascii="Helvetica Light" w:hAnsi="Helvetica Light" w:cs="Helvetica Light"/>
          <w:sz w:val="24"/>
          <w:sz-cs w:val="24"/>
        </w:rPr>
        <w:t xml:space="preserve">Electronics and semiconductor integration | +10.3% | Taiwan, South Korea, China; spill-over to North America | Short term (≤ 2 years) | </w:t>
      </w:r>
    </w:p>
    <w:p>
      <w:pPr/>
      <w:r>
        <w:rPr>
          <w:rFonts w:ascii="Helvetica Light" w:hAnsi="Helvetica Light" w:cs="Helvetica Light"/>
          <w:sz w:val="24"/>
          <w:sz-cs w:val="24"/>
        </w:rPr>
        <w:t xml:space="preserve">EMI-shielding foams for 5G infrastructure | +5.4% | China, South Korea, United States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Graphene market is fragmented. Late-stage funding gravitates to capacity expansion that marries cost reduction with functional differentiation. Talga’s EUR 150 million EIB loan finances a 19,500 tpa Swedish anode plant feeding Northvolt, illustrating ESG-aligned capital’s pull toward battery supply chains. First Graphene’s 60% capacity bump in Australia, coupled with automated dispersion that trims labor by 25%, pursues parity with Chinese cost curves. HydroGraph’s Texas detonation-synthesis plant, enabled by a North American industrial-gas partnership, exemplifies feedstock-security plays in an era of onshoring. Collectively, these moves sketch a sector that is simultaneously racing to tonnage and jockeying for IP-driven pricing moats.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Industry Leaders* First Graphene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Haydale Graphene Industries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NanoXplore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Sixth Element (Changzhou) Materials Technology Co.,Ltd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Global Graphene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graphene market as the annual revenue generated from the sale of pristine or functionalized single- to few-layer carbon sheets supplied in powder, film, dispersion, or masterbatch form for commercial use across all end-user sectors. Conductive inks, battery anodes, polymer composites, and thermal spreaders made with graphene additives are counted at their material value; downstream device revenues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Research-grade samples sold in gram quantities for academic labs are outside the baseline.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Graphene Sheets and Films</w:t>
      </w:r>
    </w:p>
    <w:p>
      <w:pPr/>
      <w:r>
        <w:rPr>
          <w:rFonts w:ascii="Helvetica Light" w:hAnsi="Helvetica Light" w:cs="Helvetica Light"/>
          <w:sz w:val="24"/>
          <w:sz-cs w:val="24"/>
        </w:rPr>
        <w:t xml:space="preserve">* Graphene Nanoplatelets (GNP)</w:t>
      </w:r>
    </w:p>
    <w:p>
      <w:pPr/>
      <w:r>
        <w:rPr>
          <w:rFonts w:ascii="Helvetica Light" w:hAnsi="Helvetica Light" w:cs="Helvetica Light"/>
          <w:sz w:val="24"/>
          <w:sz-cs w:val="24"/>
        </w:rPr>
        <w:t xml:space="preserve">* Graphene Oxide (GO)</w:t>
      </w:r>
    </w:p>
    <w:p>
      <w:pPr/>
      <w:r>
        <w:rPr>
          <w:rFonts w:ascii="Helvetica Light" w:hAnsi="Helvetica Light" w:cs="Helvetica Light"/>
          <w:sz w:val="24"/>
          <w:sz-cs w:val="24"/>
        </w:rPr>
        <w:t xml:space="preserve">* Nanoplatelets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Composites</w:t>
      </w:r>
    </w:p>
    <w:p>
      <w:pPr/>
      <w:r>
        <w:rPr>
          <w:rFonts w:ascii="Helvetica Light" w:hAnsi="Helvetica Light" w:cs="Helvetica Light"/>
          <w:sz w:val="24"/>
          <w:sz-cs w:val="24"/>
        </w:rPr>
        <w:t xml:space="preserve">* Energy Storage and Harvesting</w:t>
      </w:r>
    </w:p>
    <w:p>
      <w:pPr/>
      <w:r>
        <w:rPr>
          <w:rFonts w:ascii="Helvetica Light" w:hAnsi="Helvetica Light" w:cs="Helvetica Light"/>
          <w:sz w:val="24"/>
          <w:sz-cs w:val="24"/>
        </w:rPr>
        <w:t xml:space="preserve">* Printed and Flexible Electronics</w:t>
      </w:r>
    </w:p>
    <w:p>
      <w:pPr/>
      <w:r>
        <w:rPr>
          <w:rFonts w:ascii="Helvetica Light" w:hAnsi="Helvetica Light" w:cs="Helvetica Light"/>
          <w:sz w:val="24"/>
          <w:sz-cs w:val="24"/>
        </w:rPr>
        <w:t xml:space="preserve">* Biomedical and Healthcare</w:t>
      </w:r>
    </w:p>
    <w:p>
      <w:pPr/>
      <w:r>
        <w:rPr>
          <w:rFonts w:ascii="Helvetica Light" w:hAnsi="Helvetica Light" w:cs="Helvetica Light"/>
          <w:sz w:val="24"/>
          <w:sz-cs w:val="24"/>
        </w:rPr>
        <w:t xml:space="preserve">* Coatings and Paints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Electronics and Telecommunications</w:t>
      </w:r>
    </w:p>
    <w:p>
      <w:pPr/>
      <w:r>
        <w:rPr>
          <w:rFonts w:ascii="Helvetica Light" w:hAnsi="Helvetica Light" w:cs="Helvetica Light"/>
          <w:sz w:val="24"/>
          <w:sz-cs w:val="24"/>
        </w:rPr>
        <w:t xml:space="preserve">* Aerospace and Defense</w:t>
      </w:r>
    </w:p>
    <w:p>
      <w:pPr/>
      <w:r>
        <w:rPr>
          <w:rFonts w:ascii="Helvetica Light" w:hAnsi="Helvetica Light" w:cs="Helvetica Light"/>
          <w:sz w:val="24"/>
          <w:sz-cs w:val="24"/>
        </w:rPr>
        <w:t xml:space="preserve">* Energy and Power</w:t>
      </w:r>
    </w:p>
    <w:p>
      <w:pPr/>
      <w:r>
        <w:rPr>
          <w:rFonts w:ascii="Helvetica Light" w:hAnsi="Helvetica Light" w:cs="Helvetica Light"/>
          <w:sz w:val="24"/>
          <w:sz-cs w:val="24"/>
        </w:rPr>
        <w:t xml:space="preserve">* Biomedical and Healthcare</w:t>
      </w:r>
    </w:p>
    <w:p>
      <w:pPr/>
      <w:r>
        <w:rPr>
          <w:rFonts w:ascii="Helvetica Light" w:hAnsi="Helvetica Light" w:cs="Helvetica Light"/>
          <w:sz w:val="24"/>
          <w:sz-cs w:val="24"/>
        </w:rPr>
        <w:t xml:space="preserve">* Others(automotive, Chemical and Coatings)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ASEAN Countries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NORDIC Countries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Asia-Pacific demand for graphene grow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How fast will Asia-Pacific demand for graphene grow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bottleneck preventing lower graphene prices?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energy consumption in liquid-phase exfoliation and limited economies of scale keep production costs USD 200-500/kg for CVD sheets and USD 60-120/kg for nanoplatelets.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graphene application shows the highest growth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storage and harvesting, propelled by battery retrofits and fast-charge EV cells, is forecast to grow at a 46.20%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aerospace customers pay premium prices for graphene?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AS9100 certification cycles span up to two years, restricting qualified supply and enabling prices near USD 1,800/kg for flight-critical nanoplatelets.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share of capacity do the five largest graphene producers hold?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combined capacity of the top five producers is below 25%, signaling a fragmented supply base with room for consolidation.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