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GRC Cladding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[https://www.mordorintelligence.com/industry-reports/grc-cladding-market](https://www.mordorintelligence.com/industry-reports/grc-cladding-market)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36.75 billion |</w:t>
      </w:r>
    </w:p>
    <w:p>
      <w:pPr/>
      <w:r>
        <w:rPr>
          <w:rFonts w:ascii="Helvetica Light" w:hAnsi="Helvetica Light" w:cs="Helvetica Light"/>
          <w:sz w:val="24"/>
          <w:sz-cs w:val="24"/>
        </w:rPr>
        <w:t xml:space="preserve">| **Projected Forecast (2031)** | USD 36.75 billion |</w:t>
      </w:r>
    </w:p>
    <w:p>
      <w:pPr/>
      <w:r>
        <w:rPr>
          <w:rFonts w:ascii="Helvetica Light" w:hAnsi="Helvetica Light" w:cs="Helvetica Light"/>
          <w:sz w:val="24"/>
          <w:sz-cs w:val="24"/>
        </w:rPr>
        <w:t xml:space="preserve">| **Growth Rate (CAGR)** | 8.32 %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GRC Cladding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![GRC Cladding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![GRC Cladding Market: Market Share by System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![GRC Cladding Market: Market Share by Installation,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![GRC Cladding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![GRC Cladding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36.75 Billion | </w:t>
      </w:r>
    </w:p>
    <w:p>
      <w:pPr/>
      <w:r>
        <w:rPr>
          <w:rFonts w:ascii="Helvetica Light" w:hAnsi="Helvetica Light" w:cs="Helvetica Light"/>
          <w:sz w:val="24"/>
          <w:sz-cs w:val="24"/>
        </w:rPr>
        <w:t xml:space="preserve">Market Size (2031) | USD 54.79 Billion | </w:t>
      </w:r>
    </w:p>
    <w:p>
      <w:pPr/>
      <w:r>
        <w:rPr>
          <w:rFonts w:ascii="Helvetica Light" w:hAnsi="Helvetica Light" w:cs="Helvetica Light"/>
          <w:sz w:val="24"/>
          <w:sz-cs w:val="24"/>
        </w:rPr>
        <w:t xml:space="preserve">Growth Rate (2026 - 2031) | 8.32 %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GRC Cladding Market Analysis by Mordor IntelligenceThe GRC cladding market size is expected to grow from USD 33.93 billion in 2025 to USD 36.75 billion in 2026 and is forecast to reach USD 54.79 billion by 2031 at 8.32% CAGR over 2026-2031. Growing preference for lightweight, non-combustible façades, combined with tighter fire-safety rules, positions glass-reinforced concrete (GRC) as the go-to alternative where traditional precast panels prove too heavy or inflexible. Developers value the material’s one quarter weight advantage over concrete, which trims structural loads and shortens construction cycles. Investment flows into smart city projects across Asia-Pacific, rapid adoption of modular construction in the Middle East, and the pursuit of lower life-cycle costs in North America reinforce demand. Meanwhile, industry players accelerate low-carbon formulations to match emerging embodied carbon regulations, keeping the GRC cladding market on an innovation path.[1]https://www.wbdg.org/resources/seismic-safety-building-envelope.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system type, curtain wall systems led with 45.12% revenue share in 2025 while the “Others” category primarily heritage skins and modular assemblies recorded the swiftest 9.12% CAGR through 2031.</w:t>
      </w:r>
    </w:p>
    <w:p>
      <w:pPr/>
      <w:r>
        <w:rPr>
          <w:rFonts w:ascii="Helvetica Light" w:hAnsi="Helvetica Light" w:cs="Helvetica Light"/>
          <w:sz w:val="24"/>
          <w:sz-cs w:val="24"/>
        </w:rPr>
        <w:t xml:space="preserve">* By application, commercial buildings controlled 51.88% of the GRC cladding market share in 2025; residential construction is poised to expand at a 9.74% CAGR to 2031.</w:t>
      </w:r>
    </w:p>
    <w:p>
      <w:pPr/>
      <w:r>
        <w:rPr>
          <w:rFonts w:ascii="Helvetica Light" w:hAnsi="Helvetica Light" w:cs="Helvetica Light"/>
          <w:sz w:val="24"/>
          <w:sz-cs w:val="24"/>
        </w:rPr>
        <w:t xml:space="preserve">* By installation, new-build projects captured 62.76% of demand in 2025, whereas renovation and retrofit activity is advancing at the highest 9.76% CAGR as fire-safety remediation accelerates.</w:t>
      </w:r>
    </w:p>
    <w:p>
      <w:pPr/>
      <w:r>
        <w:rPr>
          <w:rFonts w:ascii="Helvetica Light" w:hAnsi="Helvetica Light" w:cs="Helvetica Light"/>
          <w:sz w:val="24"/>
          <w:sz-cs w:val="24"/>
        </w:rPr>
        <w:t xml:space="preserve">* By geography, Asia-Pacific dominated with 42.98% of 2025 revenues; the Middle East &amp; Africa is growing the fastest at 9.71%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GRC Cladding Market*Driver | (~) % Impact on CAGR Forecast | Geographic Relevance | Impact Timeline | </w:t>
      </w:r>
    </w:p>
    <w:p>
      <w:pPr/>
      <w:r>
        <w:rPr>
          <w:rFonts w:ascii="Helvetica Light" w:hAnsi="Helvetica Light" w:cs="Helvetica Light"/>
          <w:sz w:val="24"/>
          <w:sz-cs w:val="24"/>
        </w:rPr>
        <w:t xml:space="preserve">Rapid urbanization &amp; smart-city construction boom | 2.1% | APAC core, spill-over to MEA | Medium term (2-4 years) | </w:t>
      </w:r>
    </w:p>
    <w:p>
      <w:pPr/>
      <w:r>
        <w:rPr>
          <w:rFonts w:ascii="Helvetica Light" w:hAnsi="Helvetica Light" w:cs="Helvetica Light"/>
          <w:sz w:val="24"/>
          <w:sz-cs w:val="24"/>
        </w:rPr>
        <w:t xml:space="preserve">High-rise demand for lightweight, high-strength facades | 1.8% | Global, concentrated in APAC &amp; North America | Long term (≥ 4 years) | </w:t>
      </w:r>
    </w:p>
    <w:p>
      <w:pPr/>
      <w:r>
        <w:rPr>
          <w:rFonts w:ascii="Helvetica Light" w:hAnsi="Helvetica Light" w:cs="Helvetica Light"/>
          <w:sz w:val="24"/>
          <w:sz-cs w:val="24"/>
        </w:rPr>
        <w:t xml:space="preserve">Stricter fire-safety &amp; seismic codes for cladding | 1.5% | Australia, UK, North America with global adoption | Short term (≤ 2 years) | </w:t>
      </w:r>
    </w:p>
    <w:p>
      <w:pPr/>
      <w:r>
        <w:rPr>
          <w:rFonts w:ascii="Helvetica Light" w:hAnsi="Helvetica Light" w:cs="Helvetica Light"/>
          <w:sz w:val="24"/>
          <w:sz-cs w:val="24"/>
        </w:rPr>
        <w:t xml:space="preserve">Superior durability &amp; low life-cycle cost | 1.2% | Global | Long term (≥ 4 years) | </w:t>
      </w:r>
    </w:p>
    <w:p>
      <w:pPr/>
      <w:r>
        <w:rPr>
          <w:rFonts w:ascii="Helvetica Light" w:hAnsi="Helvetica Light" w:cs="Helvetica Light"/>
          <w:sz w:val="24"/>
          <w:sz-cs w:val="24"/>
        </w:rPr>
        <w:t xml:space="preserve">Off-site modular construction uptake | 0.9% | North America &amp; EU, expanding to APAC | Medium term (2-4 years) | </w:t>
      </w:r>
    </w:p>
    <w:p>
      <w:pPr/>
      <w:r>
        <w:rPr>
          <w:rFonts w:ascii="Helvetica Light" w:hAnsi="Helvetica Light" w:cs="Helvetica Light"/>
          <w:sz w:val="24"/>
          <w:sz-cs w:val="24"/>
        </w:rPr>
        <w:t xml:space="preserve">Heritage façade retrofits using ultra-thin GRC skins | 0.3% | Europe, North America historic districts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GRC cladding market remains moderately fragmented. The top five players account for roughly 35-40% of global revenue, while dozens of regional specialists fill domestic pipelines. European incumbents differentiate through color-consistent, through-pigmented skins and carbon-neutral formulations. Middle-East fabricators excel in supersized panel logistics, shipping 6 m-long units to desert megaprojects with integrated lifting lugs[4]https://www.grca.online/grca-memberships/full-members/zanette-srl. Asian producers emphasize cost efficiency, betting on high-volume residential towers to absorb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shifts dictate competitive order. Firms deploying digitally driven mold routing can cut lead times by 25-30%, winning design-bid-build schedules that penalize delays. Adoption of three-dimensional glass-fiber weaves improves out-of-plane stiffness, permitting thinner panels with equal span capability and unlocking shipping savings. GRCA Full-Member certifications, renewed by several plants in January 2025, remain a hallmark of quality and influence specifier shortlists. Strategic exits underscore specialization pressures: Ibstock’s March 2025 withdrawal freed continental market share for Rieder and SigmaRoc’s cladding divisions. In April 2025, SigmaRoc sealed a partnership with Adaptavate to commercialize low-carbon wallboard chemistry that could migrate into GRC mixes, indicating cross-fertilization between façade and interior board technologies. Overall rivalry gravitates toward sustainability credentials, factory automation, and turnkey installation packages that lower total project risk for developers.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GRC Cladding Industry Leaders* Clark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Ultratech Cement Pvt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BB Fiberbeton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Rieder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glass reinforced concrete (GRC) cladding used on building exteriors, including panels and facade elements supplied for new construction and for renovation and retrofit work.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count full building construction value, general concrete work, or non-GRC facade materials such as metal, wood, vinyl, or glass-only curtain wall glazing.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System Type* Rainscreen Cladding</w:t>
      </w:r>
    </w:p>
    <w:p>
      <w:pPr/>
      <w:r>
        <w:rPr>
          <w:rFonts w:ascii="Helvetica Light" w:hAnsi="Helvetica Light" w:cs="Helvetica Light"/>
          <w:sz w:val="24"/>
          <w:sz-cs w:val="24"/>
        </w:rPr>
        <w:t xml:space="preserve">* Curtain Wall Systems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Residential</w:t>
      </w:r>
    </w:p>
    <w:p>
      <w:pPr/>
      <w:r>
        <w:rPr>
          <w:rFonts w:ascii="Helvetica Light" w:hAnsi="Helvetica Light" w:cs="Helvetica Light"/>
          <w:sz w:val="24"/>
          <w:sz-cs w:val="24"/>
        </w:rPr>
        <w:t xml:space="preserve">* Commercial</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Installation* New Construction</w:t>
      </w:r>
    </w:p>
    <w:p>
      <w:pPr/>
      <w:r>
        <w:rPr>
          <w:rFonts w:ascii="Helvetica Light" w:hAnsi="Helvetica Light" w:cs="Helvetica Light"/>
          <w:sz w:val="24"/>
          <w:sz-cs w:val="24"/>
        </w:rPr>
        <w:t xml:space="preserve">* Renovation &amp; Retrofit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GRC cladding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GRC cladding market is expected to reach USD 54.79 billion by 2031, reflecting an 8.32%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accounts for the largest share of GRC cladding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42.98% of global 2025 revenues, driven by rapid urbanization and infrastructure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developers switching from aluminum composite to GRC façades?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Stricter fire-safety codes and rising insurance premiums on combustible panels push owners toward non-combustible GRC systems that simplify compliance and lower long-term risk.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GRC support modular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Lightweight panels integrate into factory-built volumetric modules, trimming project schedules by up to 50% and ensuring consistent quality under controlled conditions.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