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Green Buildings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[https://www.mordorintelligence.com/industry-reports/green-building-market](https://www.mordorintelligence.com/industry-reports/green-building-market)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461.23 billion |</w:t>
      </w:r>
    </w:p>
    <w:p>
      <w:pPr/>
      <w:r>
        <w:rPr>
          <w:rFonts w:ascii="Helvetica Light" w:hAnsi="Helvetica Light" w:cs="Helvetica Light"/>
          <w:sz w:val="24"/>
          <w:sz-cs w:val="24"/>
        </w:rPr>
        <w:t xml:space="preserve">| **Projected Forecast (2031)** | USD 461.23 billion |</w:t>
      </w:r>
    </w:p>
    <w:p>
      <w:pPr/>
      <w:r>
        <w:rPr>
          <w:rFonts w:ascii="Helvetica Light" w:hAnsi="Helvetica Light" w:cs="Helvetica Light"/>
          <w:sz w:val="24"/>
          <w:sz-cs w:val="24"/>
        </w:rPr>
        <w:t xml:space="preserve">| **Growth Rate (CAGR)** | 10.59 %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Green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Share by Property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Share by Construction Stage,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461.23 Billion | </w:t>
      </w:r>
    </w:p>
    <w:p>
      <w:pPr/>
      <w:r>
        <w:rPr>
          <w:rFonts w:ascii="Helvetica Light" w:hAnsi="Helvetica Light" w:cs="Helvetica Light"/>
          <w:sz w:val="24"/>
          <w:sz-cs w:val="24"/>
        </w:rPr>
        <w:t xml:space="preserve">Market Size (2031) | USD 763.12 Billion | </w:t>
      </w:r>
    </w:p>
    <w:p>
      <w:pPr/>
      <w:r>
        <w:rPr>
          <w:rFonts w:ascii="Helvetica Light" w:hAnsi="Helvetica Light" w:cs="Helvetica Light"/>
          <w:sz w:val="24"/>
          <w:sz-cs w:val="24"/>
        </w:rPr>
        <w:t xml:space="preserve">Growth Rate (2026 - 2031) | 10.59 %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Market Analysis by Mordor IntelligenceThe Green Buildings Market size is projected to be USD 417.05 billion in 2025, USD 461.23 billion in 2026, and reach USD 763.12 billion by 2031, growing at a CAGR of 10.59%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carbon-accounting protocols, energy-performance certificates, and sustainability-linked debt instruments have turned efficiency from a nice-to-have into a financing prerequisite, shrinking the payback window on high-performance envelopes and smart building systems. Rent premiums for certified assets, coupled with lower borrowing costs on green bonds, are steering institutional capital toward projects whose operational data confirm energy reductions. At the same time, retrofit mandates in mature economies and large-scale greenfield projects in emerging regions expand the addressable green building market by diversifying demand across construction stages. Material breakthroughs—from low-carbon concrete to bio-based polyurethane foams—reinforce this momentum by giving owners verifiable pathways to embodied-carbon cuts.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building systems held 42.3% of the green building market share in 2025, while exterior products registered the fastest growth at an 11.21% CAGR through 2031.</w:t>
      </w:r>
    </w:p>
    <w:p>
      <w:pPr/>
      <w:r>
        <w:rPr>
          <w:rFonts w:ascii="Helvetica Light" w:hAnsi="Helvetica Light" w:cs="Helvetica Light"/>
          <w:sz w:val="24"/>
          <w:sz-cs w:val="24"/>
        </w:rPr>
        <w:t xml:space="preserve">* By end user, commercial projects dominated with 53.7% revenue in 2025; logistics facilities are projected to expand at an 11.76% CAGR through 2031.</w:t>
      </w:r>
    </w:p>
    <w:p>
      <w:pPr/>
      <w:r>
        <w:rPr>
          <w:rFonts w:ascii="Helvetica Light" w:hAnsi="Helvetica Light" w:cs="Helvetica Light"/>
          <w:sz w:val="24"/>
          <w:sz-cs w:val="24"/>
        </w:rPr>
        <w:t xml:space="preserve">* By construction stage, new builds represented 68.1% of 2025 activity, yet renovation is advancing at an 11.55% CAGR, the fastest among all stages.</w:t>
      </w:r>
    </w:p>
    <w:p>
      <w:pPr/>
      <w:r>
        <w:rPr>
          <w:rFonts w:ascii="Helvetica Light" w:hAnsi="Helvetica Light" w:cs="Helvetica Light"/>
          <w:sz w:val="24"/>
          <w:sz-cs w:val="24"/>
        </w:rPr>
        <w:t xml:space="preserve">* By geography, Asia-Pacific commanded 37.6% of the 2025 value, while the Middle East &amp; Africa region is set to post a 12.23%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Green Buildings Market*Drivers | (~) % IMPACT ON CAGR FORECAST | Geographic Relevance | Impact Timeline | </w:t>
      </w:r>
    </w:p>
    <w:p>
      <w:pPr/>
      <w:r>
        <w:rPr>
          <w:rFonts w:ascii="Helvetica Light" w:hAnsi="Helvetica Light" w:cs="Helvetica Light"/>
          <w:sz w:val="24"/>
          <w:sz-cs w:val="24"/>
        </w:rPr>
        <w:t xml:space="preserve">Stringent green-construction regulations &amp; certification mandates | +2.8% | EU, California, tier-one APAC cities | Medium term (2–4 years) | </w:t>
      </w:r>
    </w:p>
    <w:p>
      <w:pPr/>
      <w:r>
        <w:rPr>
          <w:rFonts w:ascii="Helvetica Light" w:hAnsi="Helvetica Light" w:cs="Helvetica Light"/>
          <w:sz w:val="24"/>
          <w:sz-cs w:val="24"/>
        </w:rPr>
        <w:t xml:space="preserve">Rising energy prices are boosting demand for high-performance envelopes | +2.1% | Europe, North America, and energy-import-dependent APAC | Short term (≤2 years) | </w:t>
      </w:r>
    </w:p>
    <w:p>
      <w:pPr/>
      <w:r>
        <w:rPr>
          <w:rFonts w:ascii="Helvetica Light" w:hAnsi="Helvetica Light" w:cs="Helvetica Light"/>
          <w:sz w:val="24"/>
          <w:sz-cs w:val="24"/>
        </w:rPr>
        <w:t xml:space="preserve">Corporate ESG targets opening green-bond &amp; sustainability-linked financing | +2.5% | North America, Europe, APAC financial hubs | Medium term (2–4 years) | </w:t>
      </w:r>
    </w:p>
    <w:p>
      <w:pPr/>
      <w:r>
        <w:rPr>
          <w:rFonts w:ascii="Helvetica Light" w:hAnsi="Helvetica Light" w:cs="Helvetica Light"/>
          <w:sz w:val="24"/>
          <w:sz-cs w:val="24"/>
        </w:rPr>
        <w:t xml:space="preserve">Rapid urbanization programs with green-building codes in APAC | +1.9% | China, India, Southeast Asia | Long term (≥4 years) | </w:t>
      </w:r>
    </w:p>
    <w:p>
      <w:pPr/>
      <w:r>
        <w:rPr>
          <w:rFonts w:ascii="Helvetica Light" w:hAnsi="Helvetica Light" w:cs="Helvetica Light"/>
          <w:sz w:val="24"/>
          <w:sz-cs w:val="24"/>
        </w:rPr>
        <w:t xml:space="preserve">Mandatory embodied-carbon disclosure in public procurement | +1.2% | EU, UK, select North America, pilot APAC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insulation and façade giants—Kingspan, Saint-Gobain, Owens Corning—leverage scale and R&amp;D to bundle high-performance materials with digital monitoring, cementing sticky client relationships. Schneider Electric’s EcoStruxure and Johnson Controls’ OpenBlue ecosystems merge hardware with analytics subscriptions that convert one-time sales into service annuities. Competition revolves around proof of energy savings, not just product specs, compelling laggards to partner or risk exclusion from large tenders.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Materials innovation deepens rivalry. Holcim’s low-carbon cement and Interface’s carbon-negative carpet tiles differentiate on embodied carbon, a metric that public procurement now tracks. Start-ups like Sublime Systems chase electrochemical cement technologies that eliminate process emissions, potentially leapfrogging incumbents. Suppliers able to certify cradle-to-gate impacts rapidly win share in projects subject to disclosure rules, underscoring the growing data intensity of the green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Industrialized construction adds another front. Binderholz and RedBuilt expand cross-laminated timber and panelized wall factories to offset skilled-labor shortages and cut site waste. Yet designers worry about aesthetic uniformity, so hybrid solutions—mass-timber cores with bespoke façades—gain favor. Strategic alliances proliferate: Johnson Controls partnered with Microsoft Azure for predictive analytics, and Schneider Electric bought a U.S. software firm for energy-as-a-service offerings. These moves illustrate convergence between construction products and cloud platforms, reshaping competitive dynamics.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Industry Leaders* Kingspan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Saint-Gobain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Johnson Controls International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Owens Corning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green building market is defined as the revenue linked to designing and delivering buildings that reduce energy and water use and improve indoor conditions through certified or performance-led construction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routine building repairs that do not change energy, water, or material performance, and we also exclude standalone consumer devices that are not part of the building fabric or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Exterior Products</w:t>
      </w:r>
    </w:p>
    <w:p>
      <w:pPr/>
      <w:r>
        <w:rPr>
          <w:rFonts w:ascii="Helvetica Light" w:hAnsi="Helvetica Light" w:cs="Helvetica Light"/>
          <w:sz w:val="24"/>
          <w:sz-cs w:val="24"/>
        </w:rPr>
        <w:t xml:space="preserve">* Interior Products</w:t>
      </w:r>
    </w:p>
    <w:p>
      <w:pPr/>
      <w:r>
        <w:rPr>
          <w:rFonts w:ascii="Helvetica Light" w:hAnsi="Helvetica Light" w:cs="Helvetica Light"/>
          <w:sz w:val="24"/>
          <w:sz-cs w:val="24"/>
        </w:rPr>
        <w:t xml:space="preserve">* Building Systems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Residential* Apartments &amp; Condominiums</w:t>
      </w:r>
    </w:p>
    <w:p>
      <w:pPr/>
      <w:r>
        <w:rPr>
          <w:rFonts w:ascii="Helvetica Light" w:hAnsi="Helvetica Light" w:cs="Helvetica Light"/>
          <w:sz w:val="24"/>
          <w:sz-cs w:val="24"/>
        </w:rPr>
        <w:t xml:space="preserve">* Villas &amp; Landed 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Commercial* Office</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Logistics</w:t>
      </w:r>
    </w:p>
    <w:p>
      <w:pPr/>
      <w:r>
        <w:rPr>
          <w:rFonts w:ascii="Helvetica Light" w:hAnsi="Helvetica Light" w:cs="Helvetica Light"/>
          <w:sz w:val="24"/>
          <w:sz-cs w:val="24"/>
        </w:rPr>
        <w:t xml:space="preserve">* Institutional</w:t>
      </w:r>
    </w:p>
    <w:p>
      <w:pPr/>
      <w:r>
        <w:rPr>
          <w:rFonts w:ascii="Helvetica Light" w:hAnsi="Helvetica Light" w:cs="Helvetica Light"/>
          <w:sz w:val="24"/>
          <w:sz-cs w:val="24"/>
        </w:rPr>
        <w:t xml:space="preserve">* Others (industrial real estate, hospitality real estate,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Construction Stage* New Construction</w:t>
      </w:r>
    </w:p>
    <w:p>
      <w:pPr/>
      <w:r>
        <w:rPr>
          <w:rFonts w:ascii="Helvetica Light" w:hAnsi="Helvetica Light" w:cs="Helvetica Light"/>
          <w:sz w:val="24"/>
          <w:sz-cs w:val="24"/>
        </w:rPr>
        <w:t xml:space="preserve">* Renovation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green buildings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green buildings market size is valued at USD 461.23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expected for green buildings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green buildings market is projected to grow at a 10.59% CAGR, reaching USD 763.12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systems—including HVAC, smart controls, and lighting—lead with 42.3% of 2025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&amp; Africa region is forecast to post a 12.23% CAGR through 2031, led by Saudi Arabia and the UAE.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retrofits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deadlines in the EU and major U.S. cities require energy upgrades of existing buildings, driving an 11.55% CAGR in renovation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hampers the faster adoption of sustainable builds?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Upfront cost premiums, fragmented low-carbon material supply chains, and skilled-labor shortages slow broader market uptake.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