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Human Embryonic Stem Cells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Biotechnology &amp; Genomics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https://www.mordorintelligence.com/industry-reports/human-embryonic-stem-cells-market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Human Embryonic Stem Cells Market Size &amp; Share Analysis - Growth Trends and Forecast (2026 - 2031)The Human Embryonic Stem Cells Market Report is Segmented by Application (Regenerative Medicine, Stem-Cell Biology Research, Tissue Engineering, Toxicology Testing), Product Type (hESC Lines, Culture Media &amp; Reagents, Instruments &amp; Consumables), and Geography (North America, Europe, Asia-Pacific, Middle East and Africa, South America). The Market Forecasts are Provided in Terms of Value (USD).</w:t>
      </w:r>
    </w:p>
    <w:p>
      <w:pPr/>
      <w:r>
        <w:rPr>
          <w:rFonts w:ascii="Helvetica" w:hAnsi="Helvetica" w:cs="Helvetica"/>
          <w:sz w:val="24"/>
          <w:sz-cs w:val="24"/>
          <w:spacing w:val="0"/>
          <w:color w:val="000000"/>
        </w:rPr>
        <w:t xml:space="preserve">Human Embryonic Stem Cells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Market Size (2026) | USD 1.33 Billion | </w:t>
      </w:r>
    </w:p>
    <w:p>
      <w:pPr/>
      <w:r>
        <w:rPr>
          <w:rFonts w:ascii="Helvetica" w:hAnsi="Helvetica" w:cs="Helvetica"/>
          <w:sz w:val="24"/>
          <w:sz-cs w:val="24"/>
          <w:spacing w:val="0"/>
          <w:color w:val="000000"/>
        </w:rPr>
        <w:t xml:space="preserve">Market Size (2031) | USD 2.05 Billion | </w:t>
      </w:r>
    </w:p>
    <w:p>
      <w:pPr/>
      <w:r>
        <w:rPr>
          <w:rFonts w:ascii="Helvetica" w:hAnsi="Helvetica" w:cs="Helvetica"/>
          <w:sz w:val="24"/>
          <w:sz-cs w:val="24"/>
          <w:spacing w:val="0"/>
          <w:color w:val="000000"/>
        </w:rPr>
        <w:t xml:space="preserve">Growth Rate (2026 - 2031) | 9.05 % CAGR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Human Embryonic Stem Cells Market Analysis by Mordor IntelligenceThe Human Embryonic Stem Cells Market size was valued at USD 1.22 billion in 2025 and is estimated to grow from USD 1.33 billion in 2026 to reach USD 2.05 billion by 2031, at a CAGR of 9.05% during the forecast period (2026-2031). Advances in CRISPR-enabled line engineering, a steadily growing pool of ethically sourced surplus IVF embryos, and the commercial availability of xeno-free GMP culture systems collectively expand therapeutic horizons across cardiac, retinal, and endocrine disorders. Industrial uptake rises as automated, closed-system bioprocessing cuts contamination risk and doubles batch throughput, sharpening the competitive edge for early movers in the human embryonic stem cells market.[1] Regulatory support, exemplified by the FDAâ€™s RMAT pathway and Japanâ€™s fast-track approvals, accelerates clinic-to-market timelines and attracts multi-billion-dollar funding commitments. Meanwhile, cross-disciplinary collaborations between gene-editing pioneers and manufacturing specialists compress development cycles and broaden intellectual-property defensibility within the human embryonic stem cells market. Heightened ethical activism and rising cost pressures remain watchpoints, but technology-driven productivity gains are on track to offset near-term headwinds.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Rebecca Ihilchik &amp; Stacey Johnson, â€œAI-Enabled Biomanufacturing Innovation Enhances Affordability and Access to Cell and Gene Therapies,â€ ISCT Global, isctglobal.org 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regenerative medicine held 58.02% of the human embryonic stem cells market share in 2025, while stem-cell biology research is advancing at a 10.45% CAGR through 2031.</w:t>
      </w:r>
    </w:p>
    <w:p>
      <w:pPr/>
      <w:r>
        <w:rPr>
          <w:rFonts w:ascii="Helvetica" w:hAnsi="Helvetica" w:cs="Helvetica"/>
          <w:sz w:val="24"/>
          <w:sz-cs w:val="24"/>
          <w:spacing w:val="0"/>
          <w:color w:val="000000"/>
        </w:rPr>
        <w:t xml:space="preserve">* By product type, hESC lines commanded 52.68% share of the human embryonic stem cells market size in 2025; culture media &amp; reagents are projected to expand at an 11.21% CAGR between 2026 and 2031.</w:t>
      </w:r>
    </w:p>
    <w:p>
      <w:pPr/>
      <w:r>
        <w:rPr>
          <w:rFonts w:ascii="Helvetica" w:hAnsi="Helvetica" w:cs="Helvetica"/>
          <w:sz w:val="24"/>
          <w:sz-cs w:val="24"/>
          <w:spacing w:val="0"/>
          <w:color w:val="000000"/>
        </w:rPr>
        <w:t xml:space="preserve">* By geography, North America led with 41.74% revenue share in 2025, whereas Asia-Pacific is forecast to deliver the fastest growth at an 10.98% CAGR to 2031.</w:t>
      </w:r>
    </w:p>
    <w:p>
      <w:pPr/>
      <w:r>
        <w:rPr>
          <w:rFonts w:ascii="Helvetica" w:hAnsi="Helvetica" w:cs="Helvetica"/>
          <w:sz w:val="24"/>
          <w:sz-cs w:val="24"/>
          <w:spacing w:val="0"/>
          <w:color w:val="000000"/>
        </w:rPr>
        <w:t xml:space="preserve">Note: Market size and forecast figures in this report are generated using Mordor Intelligence's proprietary estimation framework, updated with the latest available data and insights as of 2026.</w:t>
      </w:r>
    </w:p>
    <w:p>
      <w:pPr/>
      <w:r>
        <w:rPr>
          <w:rFonts w:ascii="Helvetica" w:hAnsi="Helvetica" w:cs="Helvetica"/>
          <w:sz w:val="24"/>
          <w:sz-cs w:val="24"/>
          <w:spacing w:val="0"/>
          <w:color w:val="000000"/>
        </w:rPr>
        <w:t xml:space="preserve">Global Human Embryonic Stem Cells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Driver</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 % Impact on CAGR Forecast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Geographic Relevance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Impact Timeline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High Prevalence of Cardiac and Malignant Diseases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+1.8%</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Global, with concentration in North America &amp; Europe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Rising Demand for Regenerative Medicine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+2.1%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Global, led by APAC growth markets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Long term (â‰¥ 4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Growing Government and Private Funding Programs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+1.5%</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North America, Europe, Japan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CRISPR-enabled hESC Line Engineering</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+1.2%</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Global, with R&amp;D centers in US, UK, Japan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Xeno-free GMP Culture Systems Lower Contamination Risk</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+0.9%</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Global manufacturing hubs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Surplus IVF Embryos Expanding Ethical hESC Supply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+0.7%</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Regions with established IVF infrastructure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Long term (â‰¥ 4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Prevalence of Cardiac and Malignant Diseases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Cardiovascular disorders and cancer together account for the majority of mortality worldwide, creating sustained clinical demand for multi-lineage repair solutions. Human embryonic stem-cell-derived cardiac spheroids restore contractility in porcine infarct models and are now entering first-in-human ischemic cardiomyopathy trials. hESC-derived islet cells (VX-880) achieved insulin independence in 10 of 12 type 1 diabetes patients, underscoring the breadth of application potential. Commercial interest intensifies as population-level spending on cardiac care exceeds USD 350 billion, positioning cardiometabolic programs as headline value drivers within the human embryonic stem cells market. Additive-manufacturing breakthroughs, such as 3-D-printed myocardium scaffolds seeded with hESCs, further shorten translational pathways.[2] Collectively, these data validate disease-modifying potential and reinforce premium pricing opportunities through 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Sena Quinn, â€œ3D-Printing Heart Tissue With Human Stem Cells,â€ Lifeboat Foundation, lifeboat.com Rising Demand for Regenerative Medicine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More than 1,200 active cell and gene therapy trials in the United States showcase how regenerative medicine is moving from fringe to frontline care. Allogeneic platforms that rely on human embryonic stem cells enable off-the-shelf dosing, solving historical scale limitations of autologous procedures. Japanâ€™s 60-plus iPS cell studies illustrate how cohesive policy, reimbursement clarity, and manufacturing incentives foster accelerated adoption. The FDAâ€™s landmark approval of a mesenchymal stromal cell therapy signals regulator readiness to clear clinically validated products, indirectly benefiting hESC developers. Vision-restoration successes using hESC-derived corneal epithelium (â‰¥90% efficacy) elevate public trust, fueling positive feedback loops for patient recruitment and investor inflows.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Growing Government and Private Funding Programs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CIRMâ€™s USD 5 billion endowment anchors the United States as a capital-rich environment for translational research. Public grants de-risk early studies, crowding-in venture capital and strategic pharma partnerships across the human embryonic stem cells market. Japanâ€™s conditional approval framework complements state-backed infrastructure spending, prompting global firms to locate GMP suites near Tokyo for faster market entry. On the private side, multi-year agency contractsâ€”such as BARDAâ€™s stem-cell-derived platelet programâ€”illustrate expanding defense and emergency-response use cases that diversify revenue streams. These parallel funding channels magnify discovery velocity and compress commercialization risk.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CRISPR-Enabled hESC Line Engineering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CRISPR prime editing achieves 36â€“73% on-target efficiencies in pluripotent cells, enabling rapid construction of isogenic disease models and low-immunogenicity therapeutic lines. Cas12a-multiplex systems now permit simultaneous insertion of multiple edits, accelerating candidate screening cycles. Proof-of-concept work eliminating HLA-A, -B, and -C antigens shows promise for universal donor cells, although transplant rejection in immunocompetent mice underscores the need for combinatorial immune-evasion strategies. Large-scale variant libraries generated at the Wellcome Sanger Institute provide unmatched resources for target validation and toxicity screening. Cumulatively, precision editing lowers downstream attrition and enhances product-portfolio optionality across the human embryonic stem cells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Restraint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 % Impact on CAGR Forecast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Geographic Relevance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Impact Timeline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High Treatment and Production Cost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-1.4%</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Global, particularly in cost-sensitive markets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Stringent and Heterogeneous Global Regulations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Global, with varying regional intensity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Long term (â‰¥ 4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Fast-Growing iPSC Alternatives Cannibalise Funding</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-0.8%</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Global R&amp;D centers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Social-Mediaâ€“Driven Ethical Activism Dampens Adoption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-0.6%</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Primarily Western markets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Treatment and Production Cost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Current hESC-based therapies often exceed USD 100,000 per dose, driven by manual clean-room operations and low process yields. AI-guided robotics slash labor inputs by 50% and deliver lot-to-lot consistency, pointing to breakeven manufacturing at sub-USD 50,000 within five years. Thermo Fisherâ€™s USD 475 million CDMO site in New Jersey exemplifies industry-scale investment targeting cost compression and regulatory compliance. Modular robotic clusters reproducibly handle expansion, harvesting, and final fill-finish, shortening campaign times and reducing batch failure risk. Predictive AI models from Northeastern University further optimize nutrient feeds and passage timing, pushing yields toward industrial benchmarks. These gains must sustain momentum to offset payer scrutiny and price-sensitive emerging-market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Stringent and Heterogeneous Global Regulations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Developers navigate a patchwork of approval requirements, from the EUâ€™s 2027 SoHO regulation to the FDAâ€™s stepped enforcement against unlicensed clinics.[3] Japanâ€™s embryo-model guidelines, due for revision in 2025, illustrate how forward-looking policy can spur investment yet also reshape compliance workloads. The International Society for Cell &amp; Gene Therapyâ€™s APAC roadmaps aim at harmonization, but until adopted, divergent dossiers inflate administrative cost. US political discourse around federal funding bans adds uncertainty to long-range capital planning.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Sarah Rosenthaler, â€œNew EU Regulation on Substances of Human Origin,â€ Schoenherr, schoenherr.eu *Our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Application: Regenerative Medicine Drives Clinical Translation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Regenerative medicine captured 58.02% of the human embryonic stem cells market share in 2025, buoyed by clinical readouts such as +5.5-letter visual-acuity gains for OpRegen in geographic atrophy patients. Spinal cord repair, pancreatic islet replacement, and cardiac remuscularization now headline multi-center trials, reinforcing the segmentâ€™s dominant revenue trajectory. As more programs secure RMAT or Sakigake designations, payers gain real-world evidence to justify reimbursement, fueling a virtuous adoption cycle within the human embryonic stem cells market.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Stem-cell biology research, registering a 10.45% CAGR to 2031, benefits from automated genome-editing screens and organoid platforms capable of recapitulating human tissue complexity. CRISPR-powered lineage-tracing and high-content phenomics shorten target-identification timelines, while novel organoid co-culture systems elevate disease-model accuracy five-fold. As academic core facilities transition to fee-for-service models, research spending funnels back into reagents and line-licensing royalties, enlarging recurring-revenue pools for supply-chain participants. The human embryonic stem cells market size for discovery applications is projected to climb steadily as multiplex screens become integral to precision-medicine pipelines.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Note: Segment shares of all individual segments available upon report purchase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4.0.By Product Type: hESC Lines Dominate Despite Culture Media and Reagents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Commercially established hESC lines held 52.68% share of the human embryonic stem cells market size in 2025, underpinned by scalable master-cell-bank infrastructure and mature regulatory precedents. Universal-donor editing strategies promise broader patient coverage without bespoke manufacturing, keeping line licensing attractive for big pharma seeking rapid entry. GMP culture media, reagents, and ancillary kits form a high-margin supply tier; customized xeno-free formulations from Lonza lock in recurring demand through process validation cycles.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Culture media and reagents, expanding at an 11.21% CAGR, ride the personalized-medicine wave, particularly for inherited disorders where patient-specific corrections minimize rejection risk. Instruments and consumables suppliers leverage this shift by bundling hardware-software suites, evidenced by Terumo-CiRAâ€™s automated iPS cell workstations that achieve 90% labor savings. As COGS decline, autologous pipelines could capture niche orphan-disease markets, complementing mass-market allogeneic products.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Note: Segment shares of all individual segments available upon report purchase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AnalysisNorth America retained 41.74% of global revenue in 2025, anchored by robust NIH and CIRM funding, RMAT-enabled fast-track reviews, and extensive CDMO capacity. Stanford-led cardiac trials, Northwesternâ€™s spinal cord initiatives, and Thermo Fisherâ€™s new Princeton site collectively exhibit the regionâ€™s lab-to-launch integration. Political uncertainty around federal funding for embryonic research poses a strategic risk, but diversified private investment cushions potential public-budget fluctuations.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is the fastest-growing cluster, advancing at an 10.98% CAGR through 2031 on the back of Japanâ€™s conditional-approval regime and Chinaâ€™s state-backed research parks. Over 60 active Japanese clinical trials highlight regulatory agility, while Sumitomo Pharma and Nikon-Lonza manufacturing alliances demonstrate capital inflows from multinational partners. Government grants cover facility build-outs and workforce training, amplifying local supply-chain maturity within the human embryonic stem cells market.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Europeâ€™s outlook hinges on effective rollout of the SoHO regulation in 2027. Germany and the United Kingdom maintain leading academic clusters; the UKâ€™s code of practice for synthetic embryos signals policy innovation that may shape continental standards. France and Italy focus on ophthalmology and cartilage repair niches, while Scandinavian consortia invest in cryogenic logistics to widen patient access. Western European reimbursement hurdles persist, but cross-border collaboration and EU-wide HTA reforms are expected to streamline market access for certified products.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LandscapeMarket Concentration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4.0.Competition is moderate, characterized by a mix of large-cap pharmaceuticals and niche biotechs pursuing first-in-class indications. Vertex Pharmaceuticals leveraged focused R&amp;D spend to deliver VX-880 data showing insulin independence in 83% of treated patients, validating the value of single-asset depth. Lineage Cell Therapeutics exemplifies pipeline breadth, running concurrent late-stage ophthalmology and early spinal-cord programs to hedge development risk. Astellas Pharmaâ€™s robotics alliance with Yaskawa points to manufacturing scalability as a key battleground, where cycle-time reductions translate directly into competitive pricing.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Emerging technology entrants, including Nikon and OmniaBio, monetize AI-enabled quality-control algorithms, differentiating on cost-per-million-cells metrics. Universal-donor cell engineering is a white-space arena, with academic-industry consortia racing to refine multi-gene-edited platforms that can evade complement and NK-cell responses.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 patent cliffs approach for first-generation hESC lines, brand equity will increasingly hinge on manufacturing competency and clinical-outcomes datasets rather than basic IP protection. The overall tenor of competition suggests further consolidation as scale becomes indispensable to navigate global regulatory divergence.</w:t>
      </w:r>
    </w:p>
    <w:p>
      <w:pPr/>
      <w:r>
        <w:rPr>
          <w:rFonts w:ascii="Helvetica" w:hAnsi="Helvetica" w:cs="Helvetica"/>
          <w:sz w:val="24"/>
          <w:sz-cs w:val="24"/>
          <w:spacing w:val="0"/>
          <w:color w:val="000000"/>
        </w:rPr>
        <w:t xml:space="preserve">Human Embryonic Stem Cells Industry Leaders1 Merck KGaA2 STEMCELL Technologies Inc.3 Vertex Pharmaceuticals4 Thermo Fisher Scientific Inc.5 Lineage Cell Therapeutics Inc.*Disclaimer: Major Players sorted in no particular order</w:t>
      </w:r>
    </w:p>
    <w:p>
      <w:pPr/>
      <w:r>
        <w:rPr>
          <w:rFonts w:ascii="Helvetica" w:hAnsi="Helvetica" w:cs="Helvetica"/>
          <w:sz w:val="24"/>
          <w:sz-cs w:val="24"/>
          <w:spacing w:val="0"/>
          <w:color w:val="000000"/>
        </w:rPr>
        <w:t xml:space="preserve">Recent Industry Developments* September 2024: The Allen Institute and NYSCF partnered to integrate structural cell tags into ethnically diverse stem-cell libraries to improve disease-model inclusivity.</w:t>
      </w:r>
    </w:p>
    <w:p>
      <w:pPr/>
      <w:r>
        <w:rPr>
          <w:rFonts w:ascii="Helvetica" w:hAnsi="Helvetica" w:cs="Helvetica"/>
          <w:sz w:val="24"/>
          <w:sz-cs w:val="24"/>
          <w:spacing w:val="0"/>
          <w:color w:val="000000"/>
        </w:rPr>
        <w:t xml:space="preserve">* September 2024: EPFL inaugurated SCOL, a shared organoid and iPSC facility available to all campus research groups for translational stem-cell projects.</w:t>
      </w:r>
    </w:p>
    <w:p>
      <w:pPr/>
      <w:r>
        <w:rPr>
          <w:rFonts w:ascii="Helvetica" w:hAnsi="Helvetica" w:cs="Helvetica"/>
          <w:sz w:val="24"/>
          <w:sz-cs w:val="24"/>
          <w:spacing w:val="0"/>
          <w:color w:val="000000"/>
        </w:rPr>
        <w:t xml:space="preserve">Table of Contents for Human Embryonic Stem Cells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High prevalence of cardiac &amp; malignant diseases</w:t>
      </w:r>
    </w:p>
    <w:p>
      <w:pPr/>
      <w:r>
        <w:rPr>
          <w:rFonts w:ascii="Helvetica" w:hAnsi="Helvetica" w:cs="Helvetica"/>
          <w:sz w:val="24"/>
          <w:sz-cs w:val="24"/>
          <w:spacing w:val="0"/>
          <w:color w:val="000000"/>
        </w:rPr>
        <w:t xml:space="preserve">* 4.2.2 Rising demand for regenerative medicine</w:t>
      </w:r>
    </w:p>
    <w:p>
      <w:pPr/>
      <w:r>
        <w:rPr>
          <w:rFonts w:ascii="Helvetica" w:hAnsi="Helvetica" w:cs="Helvetica"/>
          <w:sz w:val="24"/>
          <w:sz-cs w:val="24"/>
          <w:spacing w:val="0"/>
          <w:color w:val="000000"/>
        </w:rPr>
        <w:t xml:space="preserve">* 4.2.3 Growing government &amp; private funding programs</w:t>
      </w:r>
    </w:p>
    <w:p>
      <w:pPr/>
      <w:r>
        <w:rPr>
          <w:rFonts w:ascii="Helvetica" w:hAnsi="Helvetica" w:cs="Helvetica"/>
          <w:sz w:val="24"/>
          <w:sz-cs w:val="24"/>
          <w:spacing w:val="0"/>
          <w:color w:val="000000"/>
        </w:rPr>
        <w:t xml:space="preserve">* 4.2.4 CRISPR-enabled hESC line engineering</w:t>
      </w:r>
    </w:p>
    <w:p>
      <w:pPr/>
      <w:r>
        <w:rPr>
          <w:rFonts w:ascii="Helvetica" w:hAnsi="Helvetica" w:cs="Helvetica"/>
          <w:sz w:val="24"/>
          <w:sz-cs w:val="24"/>
          <w:spacing w:val="0"/>
          <w:color w:val="000000"/>
        </w:rPr>
        <w:t xml:space="preserve">* 4.2.5 Xeno-free GMP culture systems lower contamination risk</w:t>
      </w:r>
    </w:p>
    <w:p>
      <w:pPr/>
      <w:r>
        <w:rPr>
          <w:rFonts w:ascii="Helvetica" w:hAnsi="Helvetica" w:cs="Helvetica"/>
          <w:sz w:val="24"/>
          <w:sz-cs w:val="24"/>
          <w:spacing w:val="0"/>
          <w:color w:val="000000"/>
        </w:rPr>
        <w:t xml:space="preserve">* 4.2.6 Surplus IVF embryos expanding ethical hESC supply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treatment &amp; production cost</w:t>
      </w:r>
    </w:p>
    <w:p>
      <w:pPr/>
      <w:r>
        <w:rPr>
          <w:rFonts w:ascii="Helvetica" w:hAnsi="Helvetica" w:cs="Helvetica"/>
          <w:sz w:val="24"/>
          <w:sz-cs w:val="24"/>
          <w:spacing w:val="0"/>
          <w:color w:val="000000"/>
        </w:rPr>
        <w:t xml:space="preserve">* 4.3.2 Stringent &amp; heterogeneous global regulations</w:t>
      </w:r>
    </w:p>
    <w:p>
      <w:pPr/>
      <w:r>
        <w:rPr>
          <w:rFonts w:ascii="Helvetica" w:hAnsi="Helvetica" w:cs="Helvetica"/>
          <w:sz w:val="24"/>
          <w:sz-cs w:val="24"/>
          <w:spacing w:val="0"/>
          <w:color w:val="000000"/>
        </w:rPr>
        <w:t xml:space="preserve">* 4.3.3 Fast-growing iPSC alternatives cannibalise funding</w:t>
      </w:r>
    </w:p>
    <w:p>
      <w:pPr/>
      <w:r>
        <w:rPr>
          <w:rFonts w:ascii="Helvetica" w:hAnsi="Helvetica" w:cs="Helvetica"/>
          <w:sz w:val="24"/>
          <w:sz-cs w:val="24"/>
          <w:spacing w:val="0"/>
          <w:color w:val="000000"/>
        </w:rPr>
        <w:t xml:space="preserve">* 4.3.4 Social-mediaâ€“driven ethical activism dampens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Regulatory Landscape</w:t>
      </w:r>
    </w:p>
    <w:p>
      <w:pPr/>
      <w:r>
        <w:rPr>
          <w:rFonts w:ascii="Helvetica" w:hAnsi="Helvetica" w:cs="Helvetica"/>
          <w:sz w:val="24"/>
          <w:sz-cs w:val="24"/>
          <w:spacing w:val="0"/>
          <w:color w:val="000000"/>
        </w:rPr>
        <w:t xml:space="preserve">* 4.5 Technological Outlook</w:t>
      </w:r>
    </w:p>
    <w:p>
      <w:pPr/>
      <w:r>
        <w:rPr>
          <w:rFonts w:ascii="Helvetica" w:hAnsi="Helvetica" w:cs="Helvetica"/>
          <w:sz w:val="24"/>
          <w:sz-cs w:val="24"/>
          <w:spacing w:val="0"/>
          <w:color w:val="000000"/>
        </w:rPr>
        <w:t xml:space="preserve">* 4.6 Porterâ€™s Five Forces* 4.6.1 Threat of New Entrants</w:t>
      </w:r>
    </w:p>
    <w:p>
      <w:pPr/>
      <w:r>
        <w:rPr>
          <w:rFonts w:ascii="Helvetica" w:hAnsi="Helvetica" w:cs="Helvetica"/>
          <w:sz w:val="24"/>
          <w:sz-cs w:val="24"/>
          <w:spacing w:val="0"/>
          <w:color w:val="000000"/>
        </w:rPr>
        <w:t xml:space="preserve">* 4.6.2 Bargaining Power of Buyers/Consumers</w:t>
      </w:r>
    </w:p>
    <w:p>
      <w:pPr/>
      <w:r>
        <w:rPr>
          <w:rFonts w:ascii="Helvetica" w:hAnsi="Helvetica" w:cs="Helvetica"/>
          <w:sz w:val="24"/>
          <w:sz-cs w:val="24"/>
          <w:spacing w:val="0"/>
          <w:color w:val="000000"/>
        </w:rPr>
        <w:t xml:space="preserve">* 4.6.3 Bargaining Power of Suppliers</w:t>
      </w:r>
    </w:p>
    <w:p>
      <w:pPr/>
      <w:r>
        <w:rPr>
          <w:rFonts w:ascii="Helvetica" w:hAnsi="Helvetica" w:cs="Helvetica"/>
          <w:sz w:val="24"/>
          <w:sz-cs w:val="24"/>
          <w:spacing w:val="0"/>
          <w:color w:val="000000"/>
        </w:rPr>
        <w:t xml:space="preserve">* 4.6.4 Threat of Substitute Products</w:t>
      </w:r>
    </w:p>
    <w:p>
      <w:pPr/>
      <w:r>
        <w:rPr>
          <w:rFonts w:ascii="Helvetica" w:hAnsi="Helvetica" w:cs="Helvetica"/>
          <w:sz w:val="24"/>
          <w:sz-cs w:val="24"/>
          <w:spacing w:val="0"/>
          <w:color w:val="000000"/>
        </w:rPr>
        <w:t xml:space="preserve">* 4.6.5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 (Value â€“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Application* 5.1.1 Regenerative Medicine</w:t>
      </w:r>
    </w:p>
    <w:p>
      <w:pPr/>
      <w:r>
        <w:rPr>
          <w:rFonts w:ascii="Helvetica" w:hAnsi="Helvetica" w:cs="Helvetica"/>
          <w:sz w:val="24"/>
          <w:sz-cs w:val="24"/>
          <w:spacing w:val="0"/>
          <w:color w:val="000000"/>
        </w:rPr>
        <w:t xml:space="preserve">* 5.1.2 Stem-Cell Biology Research</w:t>
      </w:r>
    </w:p>
    <w:p>
      <w:pPr/>
      <w:r>
        <w:rPr>
          <w:rFonts w:ascii="Helvetica" w:hAnsi="Helvetica" w:cs="Helvetica"/>
          <w:sz w:val="24"/>
          <w:sz-cs w:val="24"/>
          <w:spacing w:val="0"/>
          <w:color w:val="000000"/>
        </w:rPr>
        <w:t xml:space="preserve">* 5.1.3 Tissue Engineering</w:t>
      </w:r>
    </w:p>
    <w:p>
      <w:pPr/>
      <w:r>
        <w:rPr>
          <w:rFonts w:ascii="Helvetica" w:hAnsi="Helvetica" w:cs="Helvetica"/>
          <w:sz w:val="24"/>
          <w:sz-cs w:val="24"/>
          <w:spacing w:val="0"/>
          <w:color w:val="000000"/>
        </w:rPr>
        <w:t xml:space="preserve">* 5.1.4 Toxicology Testing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Product Type* 5.2.1 hESC Lines</w:t>
      </w:r>
    </w:p>
    <w:p>
      <w:pPr/>
      <w:r>
        <w:rPr>
          <w:rFonts w:ascii="Helvetica" w:hAnsi="Helvetica" w:cs="Helvetica"/>
          <w:sz w:val="24"/>
          <w:sz-cs w:val="24"/>
          <w:spacing w:val="0"/>
          <w:color w:val="000000"/>
        </w:rPr>
        <w:t xml:space="preserve">* 5.2.2 Culture Media &amp; Reagents</w:t>
      </w:r>
    </w:p>
    <w:p>
      <w:pPr/>
      <w:r>
        <w:rPr>
          <w:rFonts w:ascii="Helvetica" w:hAnsi="Helvetica" w:cs="Helvetica"/>
          <w:sz w:val="24"/>
          <w:sz-cs w:val="24"/>
          <w:spacing w:val="0"/>
          <w:color w:val="000000"/>
        </w:rPr>
        <w:t xml:space="preserve">* 5.2.3 Instruments &amp; Consumables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Geography* 5.3.1 North America</w:t>
      </w:r>
    </w:p>
    <w:p>
      <w:pPr/>
      <w:r>
        <w:rPr>
          <w:rFonts w:ascii="Helvetica" w:hAnsi="Helvetica" w:cs="Helvetica"/>
          <w:sz w:val="24"/>
          <w:sz-cs w:val="24"/>
          <w:spacing w:val="0"/>
          <w:color w:val="000000"/>
        </w:rPr>
        <w:t xml:space="preserve">* 5.3.1.1 United States</w:t>
      </w:r>
    </w:p>
    <w:p>
      <w:pPr/>
      <w:r>
        <w:rPr>
          <w:rFonts w:ascii="Helvetica" w:hAnsi="Helvetica" w:cs="Helvetica"/>
          <w:sz w:val="24"/>
          <w:sz-cs w:val="24"/>
          <w:spacing w:val="0"/>
          <w:color w:val="000000"/>
        </w:rPr>
        <w:t xml:space="preserve">* 5.3.1.2 Canada</w:t>
      </w:r>
    </w:p>
    <w:p>
      <w:pPr/>
      <w:r>
        <w:rPr>
          <w:rFonts w:ascii="Helvetica" w:hAnsi="Helvetica" w:cs="Helvetica"/>
          <w:sz w:val="24"/>
          <w:sz-cs w:val="24"/>
          <w:spacing w:val="0"/>
          <w:color w:val="000000"/>
        </w:rPr>
        <w:t xml:space="preserve">* 5.3.1.3 Mexico</w:t>
      </w:r>
    </w:p>
    <w:p>
      <w:pPr/>
      <w:r>
        <w:rPr>
          <w:rFonts w:ascii="Helvetica" w:hAnsi="Helvetica" w:cs="Helvetica"/>
          <w:sz w:val="24"/>
          <w:sz-cs w:val="24"/>
          <w:spacing w:val="0"/>
          <w:color w:val="000000"/>
        </w:rPr>
        <w:t xml:space="preserve">* 5.3.2 South America</w:t>
      </w:r>
    </w:p>
    <w:p>
      <w:pPr/>
      <w:r>
        <w:rPr>
          <w:rFonts w:ascii="Helvetica" w:hAnsi="Helvetica" w:cs="Helvetica"/>
          <w:sz w:val="24"/>
          <w:sz-cs w:val="24"/>
          <w:spacing w:val="0"/>
          <w:color w:val="000000"/>
        </w:rPr>
        <w:t xml:space="preserve">* 5.3.2.1 Brazil</w:t>
      </w:r>
    </w:p>
    <w:p>
      <w:pPr/>
      <w:r>
        <w:rPr>
          <w:rFonts w:ascii="Helvetica" w:hAnsi="Helvetica" w:cs="Helvetica"/>
          <w:sz w:val="24"/>
          <w:sz-cs w:val="24"/>
          <w:spacing w:val="0"/>
          <w:color w:val="000000"/>
        </w:rPr>
        <w:t xml:space="preserve">* 5.3.2.2 Argentina</w:t>
      </w:r>
    </w:p>
    <w:p>
      <w:pPr/>
      <w:r>
        <w:rPr>
          <w:rFonts w:ascii="Helvetica" w:hAnsi="Helvetica" w:cs="Helvetica"/>
          <w:sz w:val="24"/>
          <w:sz-cs w:val="24"/>
          <w:spacing w:val="0"/>
          <w:color w:val="000000"/>
        </w:rPr>
        <w:t xml:space="preserve">* 5.3.2.3 Rest of South America</w:t>
      </w:r>
    </w:p>
    <w:p>
      <w:pPr/>
      <w:r>
        <w:rPr>
          <w:rFonts w:ascii="Helvetica" w:hAnsi="Helvetica" w:cs="Helvetica"/>
          <w:sz w:val="24"/>
          <w:sz-cs w:val="24"/>
          <w:spacing w:val="0"/>
          <w:color w:val="000000"/>
        </w:rPr>
        <w:t xml:space="preserve">* 5.3.3 Europe</w:t>
      </w:r>
    </w:p>
    <w:p>
      <w:pPr/>
      <w:r>
        <w:rPr>
          <w:rFonts w:ascii="Helvetica" w:hAnsi="Helvetica" w:cs="Helvetica"/>
          <w:sz w:val="24"/>
          <w:sz-cs w:val="24"/>
          <w:spacing w:val="0"/>
          <w:color w:val="000000"/>
        </w:rPr>
        <w:t xml:space="preserve">* 5.3.3.1 Germany</w:t>
      </w:r>
    </w:p>
    <w:p>
      <w:pPr/>
      <w:r>
        <w:rPr>
          <w:rFonts w:ascii="Helvetica" w:hAnsi="Helvetica" w:cs="Helvetica"/>
          <w:sz w:val="24"/>
          <w:sz-cs w:val="24"/>
          <w:spacing w:val="0"/>
          <w:color w:val="000000"/>
        </w:rPr>
        <w:t xml:space="preserve">* 5.3.3.2 United Kingdom</w:t>
      </w:r>
    </w:p>
    <w:p>
      <w:pPr/>
      <w:r>
        <w:rPr>
          <w:rFonts w:ascii="Helvetica" w:hAnsi="Helvetica" w:cs="Helvetica"/>
          <w:sz w:val="24"/>
          <w:sz-cs w:val="24"/>
          <w:spacing w:val="0"/>
          <w:color w:val="000000"/>
        </w:rPr>
        <w:t xml:space="preserve">* 5.3.3.3 France</w:t>
      </w:r>
    </w:p>
    <w:p>
      <w:pPr/>
      <w:r>
        <w:rPr>
          <w:rFonts w:ascii="Helvetica" w:hAnsi="Helvetica" w:cs="Helvetica"/>
          <w:sz w:val="24"/>
          <w:sz-cs w:val="24"/>
          <w:spacing w:val="0"/>
          <w:color w:val="000000"/>
        </w:rPr>
        <w:t xml:space="preserve">* 5.3.3.4 Italy</w:t>
      </w:r>
    </w:p>
    <w:p>
      <w:pPr/>
      <w:r>
        <w:rPr>
          <w:rFonts w:ascii="Helvetica" w:hAnsi="Helvetica" w:cs="Helvetica"/>
          <w:sz w:val="24"/>
          <w:sz-cs w:val="24"/>
          <w:spacing w:val="0"/>
          <w:color w:val="000000"/>
        </w:rPr>
        <w:t xml:space="preserve">* 5.3.3.5 Spain</w:t>
      </w:r>
    </w:p>
    <w:p>
      <w:pPr/>
      <w:r>
        <w:rPr>
          <w:rFonts w:ascii="Helvetica" w:hAnsi="Helvetica" w:cs="Helvetica"/>
          <w:sz w:val="24"/>
          <w:sz-cs w:val="24"/>
          <w:spacing w:val="0"/>
          <w:color w:val="000000"/>
        </w:rPr>
        <w:t xml:space="preserve">* 5.3.3.6 Rest of Europe</w:t>
      </w:r>
    </w:p>
    <w:p>
      <w:pPr/>
      <w:r>
        <w:rPr>
          <w:rFonts w:ascii="Helvetica" w:hAnsi="Helvetica" w:cs="Helvetica"/>
          <w:sz w:val="24"/>
          <w:sz-cs w:val="24"/>
          <w:spacing w:val="0"/>
          <w:color w:val="000000"/>
        </w:rPr>
        <w:t xml:space="preserve">* 5.3.4 APAC</w:t>
      </w:r>
    </w:p>
    <w:p>
      <w:pPr/>
      <w:r>
        <w:rPr>
          <w:rFonts w:ascii="Helvetica" w:hAnsi="Helvetica" w:cs="Helvetica"/>
          <w:sz w:val="24"/>
          <w:sz-cs w:val="24"/>
          <w:spacing w:val="0"/>
          <w:color w:val="000000"/>
        </w:rPr>
        <w:t xml:space="preserve">* 5.3.4.1 China</w:t>
      </w:r>
    </w:p>
    <w:p>
      <w:pPr/>
      <w:r>
        <w:rPr>
          <w:rFonts w:ascii="Helvetica" w:hAnsi="Helvetica" w:cs="Helvetica"/>
          <w:sz w:val="24"/>
          <w:sz-cs w:val="24"/>
          <w:spacing w:val="0"/>
          <w:color w:val="000000"/>
        </w:rPr>
        <w:t xml:space="preserve">* 5.3.4.2 Japan</w:t>
      </w:r>
    </w:p>
    <w:p>
      <w:pPr/>
      <w:r>
        <w:rPr>
          <w:rFonts w:ascii="Helvetica" w:hAnsi="Helvetica" w:cs="Helvetica"/>
          <w:sz w:val="24"/>
          <w:sz-cs w:val="24"/>
          <w:spacing w:val="0"/>
          <w:color w:val="000000"/>
        </w:rPr>
        <w:t xml:space="preserve">* 5.3.4.3 India</w:t>
      </w:r>
    </w:p>
    <w:p>
      <w:pPr/>
      <w:r>
        <w:rPr>
          <w:rFonts w:ascii="Helvetica" w:hAnsi="Helvetica" w:cs="Helvetica"/>
          <w:sz w:val="24"/>
          <w:sz-cs w:val="24"/>
          <w:spacing w:val="0"/>
          <w:color w:val="000000"/>
        </w:rPr>
        <w:t xml:space="preserve">* 5.3.4.4 Australia</w:t>
      </w:r>
    </w:p>
    <w:p>
      <w:pPr/>
      <w:r>
        <w:rPr>
          <w:rFonts w:ascii="Helvetica" w:hAnsi="Helvetica" w:cs="Helvetica"/>
          <w:sz w:val="24"/>
          <w:sz-cs w:val="24"/>
          <w:spacing w:val="0"/>
          <w:color w:val="000000"/>
        </w:rPr>
        <w:t xml:space="preserve">* 5.3.4.5 South Korea</w:t>
      </w:r>
    </w:p>
    <w:p>
      <w:pPr/>
      <w:r>
        <w:rPr>
          <w:rFonts w:ascii="Helvetica" w:hAnsi="Helvetica" w:cs="Helvetica"/>
          <w:sz w:val="24"/>
          <w:sz-cs w:val="24"/>
          <w:spacing w:val="0"/>
          <w:color w:val="000000"/>
        </w:rPr>
        <w:t xml:space="preserve">* 5.3.4.6 Rest of APAC</w:t>
      </w:r>
    </w:p>
    <w:p>
      <w:pPr/>
      <w:r>
        <w:rPr>
          <w:rFonts w:ascii="Helvetica" w:hAnsi="Helvetica" w:cs="Helvetica"/>
          <w:sz w:val="24"/>
          <w:sz-cs w:val="24"/>
          <w:spacing w:val="0"/>
          <w:color w:val="000000"/>
        </w:rPr>
        <w:t xml:space="preserve">* 5.3.5 Middle East &amp; Africa</w:t>
      </w:r>
    </w:p>
    <w:p>
      <w:pPr/>
      <w:r>
        <w:rPr>
          <w:rFonts w:ascii="Helvetica" w:hAnsi="Helvetica" w:cs="Helvetica"/>
          <w:sz w:val="24"/>
          <w:sz-cs w:val="24"/>
          <w:spacing w:val="0"/>
          <w:color w:val="000000"/>
        </w:rPr>
        <w:t xml:space="preserve">* 5.3.5.1 GCC</w:t>
      </w:r>
    </w:p>
    <w:p>
      <w:pPr/>
      <w:r>
        <w:rPr>
          <w:rFonts w:ascii="Helvetica" w:hAnsi="Helvetica" w:cs="Helvetica"/>
          <w:sz w:val="24"/>
          <w:sz-cs w:val="24"/>
          <w:spacing w:val="0"/>
          <w:color w:val="000000"/>
        </w:rPr>
        <w:t xml:space="preserve">* 5.3.5.2 South Africa</w:t>
      </w:r>
    </w:p>
    <w:p>
      <w:pPr/>
      <w:r>
        <w:rPr>
          <w:rFonts w:ascii="Helvetica" w:hAnsi="Helvetica" w:cs="Helvetica"/>
          <w:sz w:val="24"/>
          <w:sz-cs w:val="24"/>
          <w:spacing w:val="0"/>
          <w:color w:val="000000"/>
        </w:rPr>
        <w:t xml:space="preserve">* 5.3.5.3 Rest of MEA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&amp; Services, and Recent Developments)* 6.4.1 Astellas Pharma Inc.</w:t>
      </w:r>
    </w:p>
    <w:p>
      <w:pPr/>
      <w:r>
        <w:rPr>
          <w:rFonts w:ascii="Helvetica" w:hAnsi="Helvetica" w:cs="Helvetica"/>
          <w:sz w:val="24"/>
          <w:sz-cs w:val="24"/>
          <w:spacing w:val="0"/>
          <w:color w:val="000000"/>
        </w:rPr>
        <w:t xml:space="preserve">* 6.4.2 Thermo Fisher Scientific Inc.</w:t>
      </w:r>
    </w:p>
    <w:p>
      <w:pPr/>
      <w:r>
        <w:rPr>
          <w:rFonts w:ascii="Helvetica" w:hAnsi="Helvetica" w:cs="Helvetica"/>
          <w:sz w:val="24"/>
          <w:sz-cs w:val="24"/>
          <w:spacing w:val="0"/>
          <w:color w:val="000000"/>
        </w:rPr>
        <w:t xml:space="preserve">* 6.4.3 Merck KGaA</w:t>
      </w:r>
    </w:p>
    <w:p>
      <w:pPr/>
      <w:r>
        <w:rPr>
          <w:rFonts w:ascii="Helvetica" w:hAnsi="Helvetica" w:cs="Helvetica"/>
          <w:sz w:val="24"/>
          <w:sz-cs w:val="24"/>
          <w:spacing w:val="0"/>
          <w:color w:val="000000"/>
        </w:rPr>
        <w:t xml:space="preserve">* 6.4.4 STEMCELL Technologies Inc.</w:t>
      </w:r>
    </w:p>
    <w:p>
      <w:pPr/>
      <w:r>
        <w:rPr>
          <w:rFonts w:ascii="Helvetica" w:hAnsi="Helvetica" w:cs="Helvetica"/>
          <w:sz w:val="24"/>
          <w:sz-cs w:val="24"/>
          <w:spacing w:val="0"/>
          <w:color w:val="000000"/>
        </w:rPr>
        <w:t xml:space="preserve">* 6.4.5 Takara Bio Inc.</w:t>
      </w:r>
    </w:p>
    <w:p>
      <w:pPr/>
      <w:r>
        <w:rPr>
          <w:rFonts w:ascii="Helvetica" w:hAnsi="Helvetica" w:cs="Helvetica"/>
          <w:sz w:val="24"/>
          <w:sz-cs w:val="24"/>
          <w:spacing w:val="0"/>
          <w:color w:val="000000"/>
        </w:rPr>
        <w:t xml:space="preserve">* 6.4.6 Lineage Cell Therapeutics Inc.</w:t>
      </w:r>
    </w:p>
    <w:p>
      <w:pPr/>
      <w:r>
        <w:rPr>
          <w:rFonts w:ascii="Helvetica" w:hAnsi="Helvetica" w:cs="Helvetica"/>
          <w:sz w:val="24"/>
          <w:sz-cs w:val="24"/>
          <w:spacing w:val="0"/>
          <w:color w:val="000000"/>
        </w:rPr>
        <w:t xml:space="preserve">* 6.4.7 PeproTech Inc.</w:t>
      </w:r>
    </w:p>
    <w:p>
      <w:pPr/>
      <w:r>
        <w:rPr>
          <w:rFonts w:ascii="Helvetica" w:hAnsi="Helvetica" w:cs="Helvetica"/>
          <w:sz w:val="24"/>
          <w:sz-cs w:val="24"/>
          <w:spacing w:val="0"/>
          <w:color w:val="000000"/>
        </w:rPr>
        <w:t xml:space="preserve">* 6.4.8 PromoCell GmbH</w:t>
      </w:r>
    </w:p>
    <w:p>
      <w:pPr/>
      <w:r>
        <w:rPr>
          <w:rFonts w:ascii="Helvetica" w:hAnsi="Helvetica" w:cs="Helvetica"/>
          <w:sz w:val="24"/>
          <w:sz-cs w:val="24"/>
          <w:spacing w:val="0"/>
          <w:color w:val="000000"/>
        </w:rPr>
        <w:t xml:space="preserve">* 6.4.9 Vertex Pharmaceuticals</w:t>
      </w:r>
    </w:p>
    <w:p>
      <w:pPr/>
      <w:r>
        <w:rPr>
          <w:rFonts w:ascii="Helvetica" w:hAnsi="Helvetica" w:cs="Helvetica"/>
          <w:sz w:val="24"/>
          <w:sz-cs w:val="24"/>
          <w:spacing w:val="0"/>
          <w:color w:val="000000"/>
        </w:rPr>
        <w:t xml:space="preserve">* 6.4.10 Lonza Group AG</w:t>
      </w:r>
    </w:p>
    <w:p>
      <w:pPr/>
      <w:r>
        <w:rPr>
          <w:rFonts w:ascii="Helvetica" w:hAnsi="Helvetica" w:cs="Helvetica"/>
          <w:sz w:val="24"/>
          <w:sz-cs w:val="24"/>
          <w:spacing w:val="0"/>
          <w:color w:val="000000"/>
        </w:rPr>
        <w:t xml:space="preserve">* 6.4.11 BD Biosciences</w:t>
      </w:r>
    </w:p>
    <w:p>
      <w:pPr/>
      <w:r>
        <w:rPr>
          <w:rFonts w:ascii="Helvetica" w:hAnsi="Helvetica" w:cs="Helvetica"/>
          <w:sz w:val="24"/>
          <w:sz-cs w:val="24"/>
          <w:spacing w:val="0"/>
          <w:color w:val="000000"/>
        </w:rPr>
        <w:t xml:space="preserve">* 6.4.12 GE HealthCare</w:t>
      </w:r>
    </w:p>
    <w:p>
      <w:pPr/>
      <w:r>
        <w:rPr>
          <w:rFonts w:ascii="Helvetica" w:hAnsi="Helvetica" w:cs="Helvetica"/>
          <w:sz w:val="24"/>
          <w:sz-cs w:val="24"/>
          <w:spacing w:val="0"/>
          <w:color w:val="000000"/>
        </w:rPr>
        <w:t xml:space="preserve">* 6.4.13 ViaCyte Inc.</w:t>
      </w:r>
    </w:p>
    <w:p>
      <w:pPr/>
      <w:r>
        <w:rPr>
          <w:rFonts w:ascii="Helvetica" w:hAnsi="Helvetica" w:cs="Helvetica"/>
          <w:sz w:val="24"/>
          <w:sz-cs w:val="24"/>
          <w:spacing w:val="0"/>
          <w:color w:val="000000"/>
        </w:rPr>
        <w:t xml:space="preserve">* 6.4.14 Fate Therapeutics</w:t>
      </w:r>
    </w:p>
    <w:p>
      <w:pPr/>
      <w:r>
        <w:rPr>
          <w:rFonts w:ascii="Helvetica" w:hAnsi="Helvetica" w:cs="Helvetica"/>
          <w:sz w:val="24"/>
          <w:sz-cs w:val="24"/>
          <w:spacing w:val="0"/>
          <w:color w:val="000000"/>
        </w:rPr>
        <w:t xml:space="preserve">* 6.4.15 BlueRock Therapeutics</w:t>
      </w:r>
    </w:p>
    <w:p>
      <w:pPr/>
      <w:r>
        <w:rPr>
          <w:rFonts w:ascii="Helvetica" w:hAnsi="Helvetica" w:cs="Helvetica"/>
          <w:sz w:val="24"/>
          <w:sz-cs w:val="24"/>
          <w:spacing w:val="0"/>
          <w:color w:val="000000"/>
        </w:rPr>
        <w:t xml:space="preserve">* 6.4.16 Cynata Therapeutics</w:t>
      </w:r>
    </w:p>
    <w:p>
      <w:pPr/>
      <w:r>
        <w:rPr>
          <w:rFonts w:ascii="Helvetica" w:hAnsi="Helvetica" w:cs="Helvetica"/>
          <w:sz w:val="24"/>
          <w:sz-cs w:val="24"/>
          <w:spacing w:val="0"/>
          <w:color w:val="000000"/>
        </w:rPr>
        <w:t xml:space="preserve">* 6.4.17 Pluri Inc.</w:t>
      </w:r>
    </w:p>
    <w:p>
      <w:pPr/>
      <w:r>
        <w:rPr>
          <w:rFonts w:ascii="Helvetica" w:hAnsi="Helvetica" w:cs="Helvetica"/>
          <w:sz w:val="24"/>
          <w:sz-cs w:val="24"/>
          <w:spacing w:val="0"/>
          <w:color w:val="000000"/>
        </w:rPr>
        <w:t xml:space="preserve">* 6.4.18 Organovo Holdings Inc.</w:t>
      </w:r>
    </w:p>
    <w:p>
      <w:pPr/>
      <w:r>
        <w:rPr>
          <w:rFonts w:ascii="Helvetica" w:hAnsi="Helvetica" w:cs="Helvetica"/>
          <w:sz w:val="24"/>
          <w:sz-cs w:val="24"/>
          <w:spacing w:val="0"/>
          <w:color w:val="000000"/>
        </w:rPr>
        <w:t xml:space="preserve">* 6.4.19 Samsung Biologics</w:t>
      </w:r>
    </w:p>
    <w:p>
      <w:pPr/>
      <w:r>
        <w:rPr>
          <w:rFonts w:ascii="Helvetica" w:hAnsi="Helvetica" w:cs="Helvetica"/>
          <w:sz w:val="24"/>
          <w:sz-cs w:val="24"/>
          <w:spacing w:val="0"/>
          <w:color w:val="000000"/>
        </w:rPr>
        <w:t xml:space="preserve">* 6.4.20 Cell Engineering Corp.</w:t>
      </w:r>
    </w:p>
    <w:p>
      <w:pPr/>
      <w:r>
        <w:rPr>
          <w:rFonts w:ascii="Helvetica" w:hAnsi="Helvetica" w:cs="Helvetica"/>
          <w:sz w:val="24"/>
          <w:sz-cs w:val="24"/>
          <w:spacing w:val="0"/>
          <w:color w:val="000000"/>
        </w:rPr>
        <w:t xml:space="preserve">* 6.4.21 Janssen (Cell Therapy Grp)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Human Embryonic Stem Cells Market Report ScopeHuman embryonic stem cells are pluripotent stem cells that are extracted from the inner cell mass of a blastocyst, which is an early-stage pre-implantation embryo. These stem cells are used for the treatment of various diseases.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human embryonic stem cells market is segmented by application and geography. By application, the market is segmented into regenerative medicine, stem cell biology research, tissue engineering, and toxicology testing. By geography, the market is segmented into North America, Europe, Asia-Pacific, Middle East and Africa, and South America. For each segment, the market size is provided in terms of USD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 | Regenerative Medicine | | </w:t>
      </w:r>
    </w:p>
    <w:p>
      <w:pPr/>
      <w:r>
        <w:rPr>
          <w:rFonts w:ascii="Helvetica" w:hAnsi="Helvetica" w:cs="Helvetica"/>
          <w:sz w:val="24"/>
          <w:sz-cs w:val="24"/>
          <w:spacing w:val="0"/>
          <w:color w:val="000000"/>
        </w:rPr>
        <w:t xml:space="preserve"> | Stem-Cell Biology Research | | </w:t>
      </w:r>
    </w:p>
    <w:p>
      <w:pPr/>
      <w:r>
        <w:rPr>
          <w:rFonts w:ascii="Helvetica" w:hAnsi="Helvetica" w:cs="Helvetica"/>
          <w:sz w:val="24"/>
          <w:sz-cs w:val="24"/>
          <w:spacing w:val="0"/>
          <w:color w:val="000000"/>
        </w:rPr>
        <w:t xml:space="preserve"> | Tissue Engineering | | </w:t>
      </w:r>
    </w:p>
    <w:p>
      <w:pPr/>
      <w:r>
        <w:rPr>
          <w:rFonts w:ascii="Helvetica" w:hAnsi="Helvetica" w:cs="Helvetica"/>
          <w:sz w:val="24"/>
          <w:sz-cs w:val="24"/>
          <w:spacing w:val="0"/>
          <w:color w:val="000000"/>
        </w:rPr>
        <w:t xml:space="preserve"> | Toxicology Testing |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Product Type | hESC Lines | | </w:t>
      </w:r>
    </w:p>
    <w:p>
      <w:pPr/>
      <w:r>
        <w:rPr>
          <w:rFonts w:ascii="Helvetica" w:hAnsi="Helvetica" w:cs="Helvetica"/>
          <w:sz w:val="24"/>
          <w:sz-cs w:val="24"/>
          <w:spacing w:val="0"/>
          <w:color w:val="000000"/>
        </w:rPr>
        <w:t xml:space="preserve"> | Culture Media &amp; Reagents | | </w:t>
      </w:r>
    </w:p>
    <w:p>
      <w:pPr/>
      <w:r>
        <w:rPr>
          <w:rFonts w:ascii="Helvetica" w:hAnsi="Helvetica" w:cs="Helvetica"/>
          <w:sz w:val="24"/>
          <w:sz-cs w:val="24"/>
          <w:spacing w:val="0"/>
          <w:color w:val="000000"/>
        </w:rPr>
        <w:t xml:space="preserve"> | Instruments &amp; Consumables |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APAC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Rest of APAC | </w:t>
      </w:r>
    </w:p>
    <w:p>
      <w:pPr/>
      <w:r>
        <w:rPr>
          <w:rFonts w:ascii="Helvetica" w:hAnsi="Helvetica" w:cs="Helvetica"/>
          <w:sz w:val="24"/>
          <w:sz-cs w:val="24"/>
          <w:spacing w:val="0"/>
          <w:color w:val="000000"/>
        </w:rPr>
        <w:t xml:space="preserve"> | Middle East &amp; Africa | GCC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Rest of MEA |</w:t>
      </w:r>
    </w:p>
    <w:p>
      <w:pPr/>
      <w:r>
        <w:rPr>
          <w:rFonts w:ascii="Helvetica" w:hAnsi="Helvetica" w:cs="Helvetica"/>
          <w:sz w:val="24"/>
          <w:sz-cs w:val="24"/>
          <w:spacing w:val="0"/>
          <w:color w:val="000000"/>
        </w:rPr>
        <w:t xml:space="preserve">Key Questions Answered in the ReportWhat is the current human embryonic stem cells market size?The market stands at USD 1.33 billion in 2026 and is on track to expand steadily.What compounded annual growth rate (CAGR) is projected through 2031?A 9.05% CAGR is forecast, lifting market value to USD 2.05 billion by 2031.Which application commands the largest revenue share today?Regenerative medicine leads with a 58.02% share in 2025, supported by advancing cardiac, retinal, and endocrine programs.Which region is expected to register the fastest growth?Asia-Pacific is projected to grow at an 10.98% CAGR through 2031, propelled by Japanâ€™s fast-track approvals and Chinaâ€™s expanding research infrastructure.What remains the principal cost barrier to broader adoption?GMP manufacturing costs keep dose prices above USD 100,000, though AI-driven automation is cutting production expenses by up to 50%.How is CRISPR technology enhancing human embryonic stem-cell products?CRISPR prime editing delivers 36â€“73% editing efficiencies, enabling low-immunogenic universal donor lines and high-fidelity disease models that accelerate clinical translation.</w:t>
      </w:r>
    </w:p>
    <w:p>
      <w:pPr/>
      <w:r>
        <w:rPr>
          <w:rFonts w:ascii="Helvetica" w:hAnsi="Helvetica" w:cs="Helvetica"/>
          <w:sz w:val="24"/>
          <w:sz-cs w:val="24"/>
          <w:spacing w:val="0"/>
          <w:color w:val="000000"/>
        </w:rPr>
        <w:t xml:space="preserve">Explore More ReportsFind Latest Data onNorth America Stem Cell Industry OverviewGlobal Plant Stem Cell Industry OverviewReport on Stem Cell Manufacturing IndustryIndustry Outlook of Stem CellBioremediation MarketIn-vitro Transcription Templates Market</w:t>
      </w:r>
    </w:p>
    <w:p>
      <w:pPr/>
      <w:r>
        <w:rPr>
          <w:rFonts w:ascii="Helvetica" w:hAnsi="Helvetica" w:cs="Helvetica"/>
          <w:sz w:val="24"/>
          <w:sz-cs w:val="24"/>
          <w:spacing w:val="0"/>
          <w:color w:val="000000"/>
        </w:rPr>
        <w:t xml:space="preserve">Human Embryonic Stem Cells Market Report SnapshotsHuman Embryonic Stem Cells Companies</w:t>
      </w:r>
    </w:p>
    <w:p>
      <w:pPr/>
      <w:r>
        <w:rPr>
          <w:rFonts w:ascii="Helvetica" w:hAnsi="Helvetica" w:cs="Helvetica"/>
          <w:sz w:val="24"/>
          <w:sz-cs w:val="24"/>
          <w:spacing w:val="0"/>
          <w:color w:val="000000"/>
        </w:rPr>
        <w:t xml:space="preserve">Related ReportsIndustry Outlook of Cell And Gene Therapy Manufacturing ServicesReport on Cell And Gene Therapy IndustryCell Therapy Market Size</w:t>
      </w:r>
    </w:p>
    <w:p>
      <w:pPr/>
      <w:r>
        <w:rPr>
          <w:rFonts w:ascii="Helvetica" w:hAnsi="Helvetica" w:cs="Helvetica"/>
          <w:sz w:val="24"/>
          <w:sz-cs w:val="24"/>
          <w:spacing w:val="0"/>
          <w:color w:val="000000"/>
        </w:rPr>
        <w:t xml:space="preserve">Latest Case Studies* Healthcare14th MayUnlocking Diagnostic Imaging Market Insights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Min Read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Read Case Study</w:t>
      </w:r>
    </w:p>
    <w:p>
      <w:pPr/>
      <w:r>
        <w:rPr>
          <w:rFonts w:ascii="Helvetica" w:hAnsi="Helvetica" w:cs="Helvetica"/>
          <w:sz w:val="24"/>
          <w:sz-cs w:val="24"/>
          <w:spacing w:val="0"/>
          <w:color w:val="000000"/>
        </w:rPr>
        <w:t xml:space="preserve">* Hospitality and Tourism13th MayUnlocking Saudi Arabiaâ€™s Regional Tourism Growth Potential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Min Read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Read Case Study</w:t>
      </w:r>
    </w:p>
    <w:p>
      <w:pPr/>
      <w:r>
        <w:rPr>
          <w:rFonts w:ascii="Helvetica" w:hAnsi="Helvetica" w:cs="Helvetica"/>
          <w:sz w:val="24"/>
          <w:sz-cs w:val="24"/>
          <w:spacing w:val="0"/>
          <w:color w:val="000000"/>
        </w:rPr>
        <w:t xml:space="preserve">* Healthcare14th MayUnlocking Diagnostic Imaging Market Insights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Min Read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Read Case Study</w:t>
      </w:r>
    </w:p>
    <w:p>
      <w:pPr/>
      <w:r>
        <w:rPr>
          <w:rFonts w:ascii="Helvetica" w:hAnsi="Helvetica" w:cs="Helvetica"/>
          <w:sz w:val="24"/>
          <w:sz-cs w:val="24"/>
          <w:spacing w:val="0"/>
          <w:color w:val="000000"/>
        </w:rPr>
        <w:t xml:space="preserve">CONTACT USWhen decisions matter, industry leaders turn to our analysts. Letâ€™s talk.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ðŸŒCountry codeSubmit</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