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Hydroponics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[https://www.mordorintelligence.com/industry-reports/hydroponics-market](https://www.mordorintelligence.com/industry-reports/hydroponics-market)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6.80 billion |</w:t>
      </w:r>
    </w:p>
    <w:p>
      <w:pPr/>
      <w:r>
        <w:rPr>
          <w:rFonts w:ascii="Helvetica Light" w:hAnsi="Helvetica Light" w:cs="Helvetica Light"/>
          <w:sz w:val="24"/>
          <w:sz-cs w:val="24"/>
        </w:rPr>
        <w:t xml:space="preserve">| **Projected Forecast (2031)** | USD 6.80 billion |</w:t>
      </w:r>
    </w:p>
    <w:p>
      <w:pPr/>
      <w:r>
        <w:rPr>
          <w:rFonts w:ascii="Helvetica Light" w:hAnsi="Helvetica Light" w:cs="Helvetica Light"/>
          <w:sz w:val="24"/>
          <w:sz-cs w:val="24"/>
        </w:rPr>
        <w:t xml:space="preserve">| **Growth Rate (CAGR)** | 10.30 %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Hydroponics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Market: Market Share by Production System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Market: Market Share by Equipment](images/chart_5.png)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6.80 Billion | </w:t>
      </w:r>
    </w:p>
    <w:p>
      <w:pPr/>
      <w:r>
        <w:rPr>
          <w:rFonts w:ascii="Helvetica Light" w:hAnsi="Helvetica Light" w:cs="Helvetica Light"/>
          <w:sz w:val="24"/>
          <w:sz-cs w:val="24"/>
        </w:rPr>
        <w:t xml:space="preserve">Market Size (2031) | USD 11.10 Billion | </w:t>
      </w:r>
    </w:p>
    <w:p>
      <w:pPr/>
      <w:r>
        <w:rPr>
          <w:rFonts w:ascii="Helvetica Light" w:hAnsi="Helvetica Light" w:cs="Helvetica Light"/>
          <w:sz w:val="24"/>
          <w:sz-cs w:val="24"/>
        </w:rPr>
        <w:t xml:space="preserve">Growth Rate (2026 - 2031) | 10.30 %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Market Analysis by Mordor IntelligenceThe hydroponics market size is estimated to be USD 6.80 billion in 2026 and is projected to reach USD 11.10 billion by 2031, supported by a 10.30% CAGR through the forecast period. Structural pressure on land availability, climate volatility, and rising water costs underpin demand as growers pivot from soil cultivation to closed-loop systems. While the greenhouse hydroponics dominate value creation, the indoor vertical farms segment is accelerating in response to an urban food security agenda that prioritizes year-round supply and short delivery radii. Government research grants, notably the United States Department of Agriculture (USDA) program, which allocates USD 10 million annually to controlled-environment studies, position hydroponic technologies as a mainstream food-security lever rather than an experimental niche[1]Source: U.S. Department of Agriculture National Institute of Food and Agriculture, “7 USC 5925g – Specialty Crop Research Initiative,” NIFA.usda.gov. Retailers prefer pesticide-free produce that meets strict traceability standards, thereby bolstering the adoption of leafy greens while biopharma buyers pull herbs into a higher-margin trajectory. Competitive fragmentation persists because automation specialists and lighting innovators can still enter at different points in the value chain, even as larger operators expand their footprints to secure purchasing power. Carbon-credit monetization for low-emission produce adds a parallel revenue stream for growers who invest in renewable energy, creating additional momentum behind the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production system type, greenhouse hydroponics led with 68.3% of the hydroponics market size in 2025, while indoor vertical farms are forecast to expand at a 13.4% CAGR through 2031.</w:t>
      </w:r>
    </w:p>
    <w:p>
      <w:pPr/>
      <w:r>
        <w:rPr>
          <w:rFonts w:ascii="Helvetica Light" w:hAnsi="Helvetica Light" w:cs="Helvetica Light"/>
          <w:sz w:val="24"/>
          <w:sz-cs w:val="24"/>
        </w:rPr>
        <w:t xml:space="preserve">* By crop type, leafy greens captured 47.2% of value in 2025, and herbs and microgreens are projected to advance at a 12.6% CAGR to 2031.</w:t>
      </w:r>
    </w:p>
    <w:p>
      <w:pPr/>
      <w:r>
        <w:rPr>
          <w:rFonts w:ascii="Helvetica Light" w:hAnsi="Helvetica Light" w:cs="Helvetica Light"/>
          <w:sz w:val="24"/>
          <w:sz-cs w:val="24"/>
        </w:rPr>
        <w:t xml:space="preserve">* By production scale, large commercial operations held 55.8% of the hydroponics market share in 2025, whereas small systems are projected to grow at a 13.3% CAGR between 2026 and 2031.</w:t>
      </w:r>
    </w:p>
    <w:p>
      <w:pPr/>
      <w:r>
        <w:rPr>
          <w:rFonts w:ascii="Helvetica Light" w:hAnsi="Helvetica Light" w:cs="Helvetica Light"/>
          <w:sz w:val="24"/>
          <w:sz-cs w:val="24"/>
        </w:rPr>
        <w:t xml:space="preserve">* By equipment, lighting systems accounted for 49.5% of the hydroponics market in 2025, with climate systems projected to register a 12.8% CAGR through 2031.</w:t>
      </w:r>
    </w:p>
    <w:p>
      <w:pPr/>
      <w:r>
        <w:rPr>
          <w:rFonts w:ascii="Helvetica Light" w:hAnsi="Helvetica Light" w:cs="Helvetica Light"/>
          <w:sz w:val="24"/>
          <w:sz-cs w:val="24"/>
        </w:rPr>
        <w:t xml:space="preserve">* By geography, Europe accounted for 34.3% of the 2025 hydroponics market revenue, while the Asia-Pacific region is positioned for the fastest regional expansion at a 12.2%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Hydroponics Market*Driver | (~) % Impact on CAGR Forecast | Geographic Relevance | Impact Timeline | </w:t>
      </w:r>
    </w:p>
    <w:p>
      <w:pPr/>
      <w:r>
        <w:rPr>
          <w:rFonts w:ascii="Helvetica Light" w:hAnsi="Helvetica Light" w:cs="Helvetica Light"/>
          <w:sz w:val="24"/>
          <w:sz-cs w:val="24"/>
        </w:rPr>
        <w:t xml:space="preserve">Controlled-environment food-security initiatives | +2.1% | Asia-Pacific, Middle East, and North America | Medium term (2-4 years) | </w:t>
      </w:r>
    </w:p>
    <w:p>
      <w:pPr/>
      <w:r>
        <w:rPr>
          <w:rFonts w:ascii="Helvetica Light" w:hAnsi="Helvetica Light" w:cs="Helvetica Light"/>
          <w:sz w:val="24"/>
          <w:sz-cs w:val="24"/>
        </w:rPr>
        <w:t xml:space="preserve">Declining arable land per capita | +1.8% | Asia-Pacific and Middle East | Long term (≥ 4 years) | </w:t>
      </w:r>
    </w:p>
    <w:p>
      <w:pPr/>
      <w:r>
        <w:rPr>
          <w:rFonts w:ascii="Helvetica Light" w:hAnsi="Helvetica Light" w:cs="Helvetica Light"/>
          <w:sz w:val="24"/>
          <w:sz-cs w:val="24"/>
        </w:rPr>
        <w:t xml:space="preserve">Year-round output advantages | +1.6% | North America, Europe, and Asia-Pacific | Short term (≤ 2 years) | </w:t>
      </w:r>
    </w:p>
    <w:p>
      <w:pPr/>
      <w:r>
        <w:rPr>
          <w:rFonts w:ascii="Helvetica Light" w:hAnsi="Helvetica Light" w:cs="Helvetica Light"/>
          <w:sz w:val="24"/>
          <w:sz-cs w:val="24"/>
        </w:rPr>
        <w:t xml:space="preserve">Carbon-credit revenue stacking | +0.9% | Europe, North America, emerging Asia-Pacific | Long term (≥ 4 years) | </w:t>
      </w:r>
    </w:p>
    <w:p>
      <w:pPr/>
      <w:r>
        <w:rPr>
          <w:rFonts w:ascii="Helvetica Light" w:hAnsi="Helvetica Light" w:cs="Helvetica Light"/>
          <w:sz w:val="24"/>
          <w:sz-cs w:val="24"/>
        </w:rPr>
        <w:t xml:space="preserve">Pharmaceutical-grade ingredient demand | +0.7% | North America, Europe, and Asia-Pacific | Medium term (2-4 years) | </w:t>
      </w:r>
    </w:p>
    <w:p>
      <w:pPr/>
      <w:r>
        <w:rPr>
          <w:rFonts w:ascii="Helvetica Light" w:hAnsi="Helvetica Light" w:cs="Helvetica Light"/>
          <w:sz w:val="24"/>
          <w:sz-cs w:val="24"/>
        </w:rPr>
        <w:t xml:space="preserve">Urban wastewater-reuse regulations | +0.6% | Europe, Middle East, and Asia-Pacific urban centers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hydroponics market remains fragmented, allowing regional specialists and niche operators to thrive alongside larger players. Village Farms International Inc. leverages its 5.5 million-square-foot greenhouse footprint to lock in high-volume contracts across North America and Europe. Plenty Unlimited Inc. raised its profile through a USD 680 million partnership with Mawarid to build vertical farms across the Middle East. Gotham Greens Inc. and BrightFarms emphasize proximity production and automation to capture freshness premiums while trimming labor overhead.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Strategies in the hydroponics market primarily focus on three areas, including achieving cost leadership through scaled, controlled-environment systems, leveraging urban proximity with water-efficient hydroponic setups, and specializing in high-value crops through precise nutrient control. AeroFarms Inc. exemplifies the third strategy by utilizing hydroponic precision to produce pharmaceutical-grade biomass, adopting an R&amp;D-driven model that positions the company upstream of traditional commodity produce. Equipment providers like Signify are addressing niche opportunities, focusing on the increasing efficiency of hydroponics-specific LED technology. Additionally, stricter regulations on nutrient discharge and carbon reporting are driving the adoption of closed-loop hydroponic systems. This trend is accelerating the integration of IoT sensors, AI-driven climate control, and recirculating water treatment technologies, while simultaneously increasing entry barriers for new players.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current hydroponics market, technology adoption has become a fundamental requirement rather than a competitive advantage. Operators failing to meet increasing standards for efficiency, traceability, and regulatory compliance risk losing retailer contracts. Meanwhile, well-capitalized companies are consolidating hydroponic capacity through mergers, joint ventures, and privatization efforts. This trend is exemplified by Village Farms International Inc.’s restructuring plans for 2025, which reflect the ongoing consolidation within the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Industry Leaders* Gotham Greens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BrightFarms (COX Enterprises,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Village Farms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AeroFarms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Plenty Unlimited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hydroponics market covers the value of soilless crop cultivation systems where plants are grown using nutrient solutions, with or without an inert medium, across commercial and smaller-scale controlled environments.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aquaponics and soil-based greenhouse or open-field cultivation, even if similar crops are produced.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Production System* Greenhouse Hydroponics</w:t>
      </w:r>
    </w:p>
    <w:p>
      <w:pPr/>
      <w:r>
        <w:rPr>
          <w:rFonts w:ascii="Helvetica Light" w:hAnsi="Helvetica Light" w:cs="Helvetica Light"/>
          <w:sz w:val="24"/>
          <w:sz-cs w:val="24"/>
        </w:rPr>
        <w:t xml:space="preserve">* Indoor Vertical Farms</w:t>
      </w:r>
    </w:p>
    <w:p>
      <w:pPr/>
      <w:r>
        <w:rPr>
          <w:rFonts w:ascii="Helvetica Light" w:hAnsi="Helvetica Light" w:cs="Helvetica Light"/>
          <w:sz w:val="24"/>
          <w:sz-cs w:val="24"/>
        </w:rPr>
        <w:t xml:space="preserve">* Container Farms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Leafy Greens</w:t>
      </w:r>
    </w:p>
    <w:p>
      <w:pPr/>
      <w:r>
        <w:rPr>
          <w:rFonts w:ascii="Helvetica Light" w:hAnsi="Helvetica Light" w:cs="Helvetica Light"/>
          <w:sz w:val="24"/>
          <w:sz-cs w:val="24"/>
        </w:rPr>
        <w:t xml:space="preserve">* Tomatoes</w:t>
      </w:r>
    </w:p>
    <w:p>
      <w:pPr/>
      <w:r>
        <w:rPr>
          <w:rFonts w:ascii="Helvetica Light" w:hAnsi="Helvetica Light" w:cs="Helvetica Light"/>
          <w:sz w:val="24"/>
          <w:sz-cs w:val="24"/>
        </w:rPr>
        <w:t xml:space="preserve">* Cucumbers</w:t>
      </w:r>
    </w:p>
    <w:p>
      <w:pPr/>
      <w:r>
        <w:rPr>
          <w:rFonts w:ascii="Helvetica Light" w:hAnsi="Helvetica Light" w:cs="Helvetica Light"/>
          <w:sz w:val="24"/>
          <w:sz-cs w:val="24"/>
        </w:rPr>
        <w:t xml:space="preserve">* Peppers</w:t>
      </w:r>
    </w:p>
    <w:p>
      <w:pPr/>
      <w:r>
        <w:rPr>
          <w:rFonts w:ascii="Helvetica Light" w:hAnsi="Helvetica Light" w:cs="Helvetica Light"/>
          <w:sz w:val="24"/>
          <w:sz-cs w:val="24"/>
        </w:rPr>
        <w:t xml:space="preserve">* Herbs and Microgreens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Equipment* Lighting Systems</w:t>
      </w:r>
    </w:p>
    <w:p>
      <w:pPr/>
      <w:r>
        <w:rPr>
          <w:rFonts w:ascii="Helvetica Light" w:hAnsi="Helvetica Light" w:cs="Helvetica Light"/>
          <w:sz w:val="24"/>
          <w:sz-cs w:val="24"/>
        </w:rPr>
        <w:t xml:space="preserve">* Irrigation Components and Pumps</w:t>
      </w:r>
    </w:p>
    <w:p>
      <w:pPr/>
      <w:r>
        <w:rPr>
          <w:rFonts w:ascii="Helvetica Light" w:hAnsi="Helvetica Light" w:cs="Helvetica Light"/>
          <w:sz w:val="24"/>
          <w:sz-cs w:val="24"/>
        </w:rPr>
        <w:t xml:space="preserve">* Climate Systems</w:t>
      </w:r>
    </w:p>
    <w:p>
      <w:pPr/>
      <w:r>
        <w:rPr>
          <w:rFonts w:ascii="Helvetica Light" w:hAnsi="Helvetica Light" w:cs="Helvetica Light"/>
          <w:sz w:val="24"/>
          <w:sz-cs w:val="24"/>
        </w:rPr>
        <w:t xml:space="preserve">* Automation and Control Systems</w:t>
      </w:r>
    </w:p>
    <w:p>
      <w:pPr/>
      <w:r>
        <w:rPr>
          <w:rFonts w:ascii="Helvetica Light" w:hAnsi="Helvetica Light" w:cs="Helvetica Light"/>
          <w:sz w:val="24"/>
          <w:sz-cs w:val="24"/>
        </w:rPr>
        <w:t xml:space="preserve">* Structural Components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Production Scale* Large</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Small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hydroponics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hydroponics market size is USD 6.80 billion in 2026 and is set to hit USD 11.10 billion by 2031 on a 10.30%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production system leads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Greenhouse hydroponics contributes 68.3% of 2025 global sales, though indoor vertical farms are growing faster at a 13.4%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herbs and microgreens the fastest-growing crop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and nutraceutical companies pay premiums for traceable, contaminant-free herbs and microgreens, fueling a 12.6%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12.2% CAGR, driven by state investment in smart-agriculture programs across China, India, and Japan.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