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Hypermarket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[https://www.mordorintelligence.com/industry-reports/hypermarkets-market](https://www.mordorintelligence.com/industry-reports/hypermarkets-market)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804.88 billion |</w:t>
      </w:r>
    </w:p>
    <w:p>
      <w:pPr/>
      <w:r>
        <w:rPr>
          <w:rFonts w:ascii="Helvetica Light" w:hAnsi="Helvetica Light" w:cs="Helvetica Light"/>
          <w:sz w:val="24"/>
          <w:sz-cs w:val="24"/>
        </w:rPr>
        <w:t xml:space="preserve">| **Projected Forecast (2031)** | USD 804.88 billion |</w:t>
      </w:r>
    </w:p>
    <w:p>
      <w:pPr/>
      <w:r>
        <w:rPr>
          <w:rFonts w:ascii="Helvetica Light" w:hAnsi="Helvetica Light" w:cs="Helvetica Light"/>
          <w:sz w:val="24"/>
          <w:sz-cs w:val="24"/>
        </w:rPr>
        <w:t xml:space="preserve">| **Growth Rate (CAGR)** | 2.45 %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Hypermarket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![Hypermarkets Market: Market Share By Product Category,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![Hypermarkets Market: Market Share By Store Size,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804.88 Billion | </w:t>
      </w:r>
    </w:p>
    <w:p>
      <w:pPr/>
      <w:r>
        <w:rPr>
          <w:rFonts w:ascii="Helvetica Light" w:hAnsi="Helvetica Light" w:cs="Helvetica Light"/>
          <w:sz w:val="24"/>
          <w:sz-cs w:val="24"/>
        </w:rPr>
        <w:t xml:space="preserve">Market Size (2031) | USD 908.47 Billion | </w:t>
      </w:r>
    </w:p>
    <w:p>
      <w:pPr/>
      <w:r>
        <w:rPr>
          <w:rFonts w:ascii="Helvetica Light" w:hAnsi="Helvetica Light" w:cs="Helvetica Light"/>
          <w:sz w:val="24"/>
          <w:sz-cs w:val="24"/>
        </w:rPr>
        <w:t xml:space="preserve">Growth Rate (2026 - 2031) | 2.45 %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 Market Analysis by Mordor Intelligencehypermarket market size in 2026 is estimated at USD 804.88 billion, growing from 2025 value of USD 785.63 billion with 2031 projections showing USD 908.47 billion, growing at 2.45% CAGR over 2026-2031. Sustained demand for one-stop shopping, investments in micro-fulfilment, and format optimisation offset competitive pressure from discount banners and pure-play e-commerce. Continuous urban migration, highlighted by the United Nations identifying Asia–Pacific as the principal contributor to global city-dweller growth, underpins new store openings [1]Source: United Nations Department of Economic and Social Affairs, “World Urbanization Prospects 2024 Revision,” un.org. . Operators also align with consumer expectations for sustainable sourcing, lower prices, and seamless omnichannel journeys that blend click-and-collect with in-store experiences. Competitive intensity nonetheless heightens as discounters enlarge footprints and zoning rules raise hurdles for new large-box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food and grocery led with 56.98% of hypermarket market share in 2025; Consumer Electronics is projected to advance at a 6.18% CAGR through 2031.</w:t>
      </w:r>
    </w:p>
    <w:p>
      <w:pPr/>
      <w:r>
        <w:rPr>
          <w:rFonts w:ascii="Helvetica Light" w:hAnsi="Helvetica Light" w:cs="Helvetica Light"/>
          <w:sz w:val="24"/>
          <w:sz-cs w:val="24"/>
        </w:rPr>
        <w:t xml:space="preserve">* By store size, the 70,001–150,000 sq ft format held 45.08% of the hypermarket market size in 2025, while ≤70,000 sq ft stores are poised for a 6.82% CAGR to 2031.</w:t>
      </w:r>
    </w:p>
    <w:p>
      <w:pPr/>
      <w:r>
        <w:rPr>
          <w:rFonts w:ascii="Helvetica Light" w:hAnsi="Helvetica Light" w:cs="Helvetica Light"/>
          <w:sz w:val="24"/>
          <w:sz-cs w:val="24"/>
        </w:rPr>
        <w:t xml:space="preserve">* By ownership model, publicly listed chains accounted for 62.56% of the hypermarket market size in 2025; franchise-operated outlets exhibit the strongest 7.34% CAGR outlook.</w:t>
      </w:r>
    </w:p>
    <w:p>
      <w:pPr/>
      <w:r>
        <w:rPr>
          <w:rFonts w:ascii="Helvetica Light" w:hAnsi="Helvetica Light" w:cs="Helvetica Light"/>
          <w:sz w:val="24"/>
          <w:sz-cs w:val="24"/>
        </w:rPr>
        <w:t xml:space="preserve">* By geography, Asia–Pacific captured 33.88% of the hypermarket market share in 2025, whereas the Middle East and Africa region is expected to post a 8.82% CAGR to 2031.</w:t>
      </w:r>
    </w:p>
    <w:p>
      <w:pPr/>
      <w:r>
        <w:rPr>
          <w:rFonts w:ascii="Helvetica Light" w:hAnsi="Helvetica Light" w:cs="Helvetica Light"/>
          <w:sz w:val="24"/>
          <w:sz-cs w:val="24"/>
        </w:rPr>
        <w:t xml:space="preserve">* Top 5 companies such as Walmart Inc., Carrefour SA, Costco Wholesale Corp., Tesco PLC, Kroger Co. hold significant market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Hypermarket Market*Driver | (~) % Impact on CAGR Forecast | Geographic Relevance | Impact Timeline | </w:t>
      </w:r>
    </w:p>
    <w:p>
      <w:pPr/>
      <w:r>
        <w:rPr>
          <w:rFonts w:ascii="Helvetica Light" w:hAnsi="Helvetica Light" w:cs="Helvetica Light"/>
          <w:sz w:val="24"/>
          <w:sz-cs w:val="24"/>
        </w:rPr>
        <w:t xml:space="preserve">Urbanization and rising disposable income | +0.8% | APAC core, spill-over to MEA | Long term (≥ 4 years) | </w:t>
      </w:r>
    </w:p>
    <w:p>
      <w:pPr/>
      <w:r>
        <w:rPr>
          <w:rFonts w:ascii="Helvetica Light" w:hAnsi="Helvetica Light" w:cs="Helvetica Light"/>
          <w:sz w:val="24"/>
          <w:sz-cs w:val="24"/>
        </w:rPr>
        <w:t xml:space="preserve">Expansion of private-label FMCG ranges | +0.5% | Global, with EU leadership | Medium term (2-4 years) | </w:t>
      </w:r>
    </w:p>
    <w:p>
      <w:pPr/>
      <w:r>
        <w:rPr>
          <w:rFonts w:ascii="Helvetica Light" w:hAnsi="Helvetica Light" w:cs="Helvetica Light"/>
          <w:sz w:val="24"/>
          <w:sz-cs w:val="24"/>
        </w:rPr>
        <w:t xml:space="preserve">Omnichannel and click-and-collect adoption | +0.4% | North America and EU, expanding to APAC | Short term (≤ 2 years) | </w:t>
      </w:r>
    </w:p>
    <w:p>
      <w:pPr/>
      <w:r>
        <w:rPr>
          <w:rFonts w:ascii="Helvetica Light" w:hAnsi="Helvetica Light" w:cs="Helvetica Light"/>
          <w:sz w:val="24"/>
          <w:sz-cs w:val="24"/>
        </w:rPr>
        <w:t xml:space="preserve">Supply-chain digitization and automation | +0.3% | Global, led by developed markets | Medium term (2-4 years) | </w:t>
      </w:r>
    </w:p>
    <w:p>
      <w:pPr/>
      <w:r>
        <w:rPr>
          <w:rFonts w:ascii="Helvetica Light" w:hAnsi="Helvetica Light" w:cs="Helvetica Light"/>
          <w:sz w:val="24"/>
          <w:sz-cs w:val="24"/>
        </w:rPr>
        <w:t xml:space="preserve">Micro-fulfilment hubs inside hypermarkets | +0.2% | Urban centers globally | Medium term (2-4 years) | </w:t>
      </w:r>
    </w:p>
    <w:p>
      <w:pPr/>
      <w:r>
        <w:rPr>
          <w:rFonts w:ascii="Helvetica Light" w:hAnsi="Helvetica Light" w:cs="Helvetica Light"/>
          <w:sz w:val="24"/>
          <w:sz-cs w:val="24"/>
        </w:rPr>
        <w:t xml:space="preserve">Experiential in-store retail formats | +0.1% | Premium markets in NA, EU, APAC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hypermarket market is moderately concentrated. Walmart leads with USD 676 billion revenue and 10,692 outlets across 27 nations, wielding data-driven replenishment and a rapidly scaling marketplace for third-party sellers. Carrefour ranks among the top European players, blending hypermarkets, convenience stores, and an expanding digital ecosystem. In Asia–Pacific, Aeon, Reliance Retail, and CP-All harness local logistics to defend domestic turf.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focus gravitates to technology and sustainability. Chains plan quadruple jumps in AI spending to unlock USD 113 billion in efficiencies, covering areas from predictive ordering to dynamic staffing. Discounters Aldi and Lidl captured 38% of German grocery sales in 2024, proving that streamlined ranges and aggressive pricing resonate with value-driven shoppers. Hypermarkets counter with tiered private-label architectures, self-checkout expansion, and renewable energy rollouts that cut operating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growth lies in urban micro-formats paired with same-day fulfilment. Operators retrofit underused parking lots for drive-thru pick-up lanes or solar canopies that lower utility bills. Acquisitions also shape the landscape: Auchan Retail and Groupement Les Mousquetaires acquired 313 French stores from Casino Group in March 2025 for EUR 1.35 billion, cementing national scale. Competitive success therefore hinges on capital access, digital agility, and the capacity to embed ESG into day-to-day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 Industry Leaders* Walmart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Carrefour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Costco Wholesale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Tesco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Kroger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hypermarkets market is defined as the yearly value of retail sales generated by large-format stores that combine full grocery with a broad non-food assortment, sold through physical stores and their linked order-fulfillment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Pure-play e-commerce retailers without a hypermarket store base, and traditional small-format convenience outlets, are not counted as hypermarkets.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and Grocery</w:t>
      </w:r>
    </w:p>
    <w:p>
      <w:pPr/>
      <w:r>
        <w:rPr>
          <w:rFonts w:ascii="Helvetica Light" w:hAnsi="Helvetica Light" w:cs="Helvetica Light"/>
          <w:sz w:val="24"/>
          <w:sz-cs w:val="24"/>
        </w:rPr>
        <w:t xml:space="preserve">* Household and Personal Care</w:t>
      </w:r>
    </w:p>
    <w:p>
      <w:pPr/>
      <w:r>
        <w:rPr>
          <w:rFonts w:ascii="Helvetica Light" w:hAnsi="Helvetica Light" w:cs="Helvetica Light"/>
          <w:sz w:val="24"/>
          <w:sz-cs w:val="24"/>
        </w:rPr>
        <w:t xml:space="preserve">* Apparel and Accessories</w:t>
      </w:r>
    </w:p>
    <w:p>
      <w:pPr/>
      <w:r>
        <w:rPr>
          <w:rFonts w:ascii="Helvetica Light" w:hAnsi="Helvetica Light" w:cs="Helvetica Light"/>
          <w:sz w:val="24"/>
          <w:sz-cs w:val="24"/>
        </w:rPr>
        <w:t xml:space="preserve">* Consumer Electronics</w:t>
      </w:r>
    </w:p>
    <w:p>
      <w:pPr/>
      <w:r>
        <w:rPr>
          <w:rFonts w:ascii="Helvetica Light" w:hAnsi="Helvetica Light" w:cs="Helvetica Light"/>
          <w:sz w:val="24"/>
          <w:sz-cs w:val="24"/>
        </w:rPr>
        <w:t xml:space="preserve">* Home Appliances</w:t>
      </w:r>
    </w:p>
    <w:p>
      <w:pPr/>
      <w:r>
        <w:rPr>
          <w:rFonts w:ascii="Helvetica Light" w:hAnsi="Helvetica Light" w:cs="Helvetica Light"/>
          <w:sz w:val="24"/>
          <w:sz-cs w:val="24"/>
        </w:rPr>
        <w:t xml:space="preserve">* Other General Merchandise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Store Size* Less than 70 000</w:t>
      </w:r>
    </w:p>
    <w:p>
      <w:pPr/>
      <w:r>
        <w:rPr>
          <w:rFonts w:ascii="Helvetica Light" w:hAnsi="Helvetica Light" w:cs="Helvetica Light"/>
          <w:sz w:val="24"/>
          <w:sz-cs w:val="24"/>
        </w:rPr>
        <w:t xml:space="preserve">* 70 001 - 150 000</w:t>
      </w:r>
    </w:p>
    <w:p>
      <w:pPr/>
      <w:r>
        <w:rPr>
          <w:rFonts w:ascii="Helvetica Light" w:hAnsi="Helvetica Light" w:cs="Helvetica Light"/>
          <w:sz w:val="24"/>
          <w:sz-cs w:val="24"/>
        </w:rPr>
        <w:t xml:space="preserve">* Greater than 150 000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Model* Publicly-Listed Chains</w:t>
      </w:r>
    </w:p>
    <w:p>
      <w:pPr/>
      <w:r>
        <w:rPr>
          <w:rFonts w:ascii="Helvetica Light" w:hAnsi="Helvetica Light" w:cs="Helvetica Light"/>
          <w:sz w:val="24"/>
          <w:sz-cs w:val="24"/>
        </w:rPr>
        <w:t xml:space="preserve">* Cooperative Chains</w:t>
      </w:r>
    </w:p>
    <w:p>
      <w:pPr/>
      <w:r>
        <w:rPr>
          <w:rFonts w:ascii="Helvetica Light" w:hAnsi="Helvetica Light" w:cs="Helvetica Light"/>
          <w:sz w:val="24"/>
          <w:sz-cs w:val="24"/>
        </w:rPr>
        <w:t xml:space="preserve">* Privately-Owned Chains</w:t>
      </w:r>
    </w:p>
    <w:p>
      <w:pPr/>
      <w:r>
        <w:rPr>
          <w:rFonts w:ascii="Helvetica Light" w:hAnsi="Helvetica Light" w:cs="Helvetica Light"/>
          <w:sz w:val="24"/>
          <w:sz-cs w:val="24"/>
        </w:rPr>
        <w:t xml:space="preserve">* Franchise-Operated</w:t>
      </w:r>
    </w:p>
    <w:p>
      <w:pPr/>
      <w:r>
        <w:rPr>
          <w:rFonts w:ascii="Helvetica Light" w:hAnsi="Helvetica Light" w:cs="Helvetica Light"/>
          <w:sz w:val="24"/>
          <w:sz-cs w:val="24"/>
        </w:rPr>
        <w:t xml:space="preserve">* Joint-Ventures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hypermarket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hypermarket market generated USD 804.88 billion in 2026 and is forecast to rise to USD 908.47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hypermarket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the largest regional position with 33.88% market share, driven by urbanization and rising disposable incomes.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dominates hypermarket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and Grocery command 56.98% of sales, acting as the primary traffic driver for weekly shopping trips.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store format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hypermarkets of ≤70,000 sq ft are projected to expand at a 6.82% CAGR, benefiting from urban real-estate constraints and convenience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hypermarkets responding to e-commerce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Chains are integrating click-and-collect, investing in micro-fulfilment, and expanding private-label offerings to retain shoppers and protect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franchising gaining importance in the hypermarket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Franchise structures allow rapid geographic growth with lower capital outlays, translating into a 7.34% CAGR forecast for franchise-operated stores by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