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Indonesia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[https://www.mordorintelligence.com/industry-reports/indonesian-retail-industry](https://www.mordorintelligence.com/industry-reports/indonesian-retail-industry)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60.09 billion |</w:t>
      </w:r>
    </w:p>
    <w:p>
      <w:pPr/>
      <w:r>
        <w:rPr>
          <w:rFonts w:ascii="Helvetica Light" w:hAnsi="Helvetica Light" w:cs="Helvetica Light"/>
          <w:sz w:val="24"/>
          <w:sz-cs w:val="24"/>
        </w:rPr>
        <w:t xml:space="preserve">| **Projected Forecast (2031)** | USD 60.09 billion |</w:t>
      </w:r>
    </w:p>
    <w:p>
      <w:pPr/>
      <w:r>
        <w:rPr>
          <w:rFonts w:ascii="Helvetica Light" w:hAnsi="Helvetica Light" w:cs="Helvetica Light"/>
          <w:sz w:val="24"/>
          <w:sz-cs w:val="24"/>
        </w:rPr>
        <w:t xml:space="preserve">| **Growth Rate (CAGR)** | 5.65 %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Indonesia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Share by Product Category,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Share by Payment Method,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56.87 Billion | </w:t>
      </w:r>
    </w:p>
    <w:p>
      <w:pPr/>
      <w:r>
        <w:rPr>
          <w:rFonts w:ascii="Helvetica Light" w:hAnsi="Helvetica Light" w:cs="Helvetica Light"/>
          <w:sz w:val="24"/>
          <w:sz-cs w:val="24"/>
        </w:rPr>
        <w:t xml:space="preserve">Market Size (2026) | USD 60.09 Billion | </w:t>
      </w:r>
    </w:p>
    <w:p>
      <w:pPr/>
      <w:r>
        <w:rPr>
          <w:rFonts w:ascii="Helvetica Light" w:hAnsi="Helvetica Light" w:cs="Helvetica Light"/>
          <w:sz w:val="24"/>
          <w:sz-cs w:val="24"/>
        </w:rPr>
        <w:t xml:space="preserve">Market Size (2031) | USD 79.11 Billion | </w:t>
      </w:r>
    </w:p>
    <w:p>
      <w:pPr/>
      <w:r>
        <w:rPr>
          <w:rFonts w:ascii="Helvetica Light" w:hAnsi="Helvetica Light" w:cs="Helvetica Light"/>
          <w:sz w:val="24"/>
          <w:sz-cs w:val="24"/>
        </w:rPr>
        <w:t xml:space="preserve">Growth Rate (2026 - 2031) | 5.65 %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Analysis by Mordor IntelligenceThe Indonesia retail market size is expected to grow from USD 56.87 billion in 2025 to USD 60.09 billion in 2026 and is forecast to reach USD 79.11 billion by 2031 at a 5.65% CAGR over 2026-2031. The growth profile is shaped by a large consumer base, faster adoption of digital payments, and rapid expansion of minimarkets, while logistics frictions, regulatory complexity, and the durability of traditional warungs continue to shape channel dynamics. Food and beverages anchor day-to-day spending, but health, beauty, and personal care are set to outpace other product categories as middle-income consumers in tier-2 cities shift to higher value brands. Modern trade gains from convenience and near-ubiquitous QRIS acceptance, yet traditional formats still hold most of the grocery transactions. The Indonesia retail market is therefore evolving in a two-speed pattern that rewards proximity retail, omnichannel execution, and data-light formats suited to dispersed demand patterns.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and beverages led with 37.24% of the Indonesia retail market size in 2025, and health, beauty, and personal care are forecast to expand at an 8.48% CAGR through 2031.</w:t>
      </w:r>
    </w:p>
    <w:p>
      <w:pPr/>
      <w:r>
        <w:rPr>
          <w:rFonts w:ascii="Helvetica Light" w:hAnsi="Helvetica Light" w:cs="Helvetica Light"/>
          <w:sz w:val="24"/>
          <w:sz-cs w:val="24"/>
        </w:rPr>
        <w:t xml:space="preserve">* By distribution channel, convenience stores and minimarkets held 42.38% of the Indonesia retail market size in 2025, and hypermarkets and supermarkets are projected to grow at a 7.87% CAGR to 2031. </w:t>
      </w:r>
    </w:p>
    <w:p>
      <w:pPr/>
      <w:r>
        <w:rPr>
          <w:rFonts w:ascii="Helvetica Light" w:hAnsi="Helvetica Light" w:cs="Helvetica Light"/>
          <w:sz w:val="24"/>
          <w:sz-cs w:val="24"/>
        </w:rPr>
        <w:t xml:space="preserve">* By payment method, cash accounted for 38.36% of the Indonesia retail market size in 2025, and e-wallets are projected to grow at a 9.74% CAGR over 2026–2031. </w:t>
      </w:r>
    </w:p>
    <w:p>
      <w:pPr/>
      <w:r>
        <w:rPr>
          <w:rFonts w:ascii="Helvetica Light" w:hAnsi="Helvetica Light" w:cs="Helvetica Light"/>
          <w:sz w:val="24"/>
          <w:sz-cs w:val="24"/>
        </w:rPr>
        <w:t xml:space="preserve">* By region, Greater Jakarta held 34.35% of the Indonesia retail market size in 2025, and Sulawesi is forecast to grow at an 8.75%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Urban-Middle Class Expansion in Tier-2 Cities | +1.8% | Tier-2 and tier-3 cities across Java, Sumatra, and Sulawesi | Long term (≥ 4 years) | </w:t>
      </w:r>
    </w:p>
    <w:p>
      <w:pPr/>
      <w:r>
        <w:rPr>
          <w:rFonts w:ascii="Helvetica Light" w:hAnsi="Helvetica Light" w:cs="Helvetica Light"/>
          <w:sz w:val="24"/>
          <w:sz-cs w:val="24"/>
        </w:rPr>
        <w:t xml:space="preserve">Government Push for Cashless Society via QRIS and BI-FAST | +1.2% | Nationwide, with early depth in Java urban corridors | Short term (≤ 2 years) | </w:t>
      </w:r>
    </w:p>
    <w:p>
      <w:pPr/>
      <w:r>
        <w:rPr>
          <w:rFonts w:ascii="Helvetica Light" w:hAnsi="Helvetica Light" w:cs="Helvetica Light"/>
          <w:sz w:val="24"/>
          <w:sz-cs w:val="24"/>
        </w:rPr>
        <w:t xml:space="preserve">Affordable Smartphones Catalyzing Mobile-First E-commerce | +1.7% | Nationwide, with strong effects outside major metros | Medium term (2-4 years) | </w:t>
      </w:r>
    </w:p>
    <w:p>
      <w:pPr/>
      <w:r>
        <w:rPr>
          <w:rFonts w:ascii="Helvetica Light" w:hAnsi="Helvetica Light" w:cs="Helvetica Light"/>
          <w:sz w:val="24"/>
          <w:sz-cs w:val="24"/>
        </w:rPr>
        <w:t xml:space="preserve">FMCG Shift to Direct-to-Retailer Distribution Models | +0.7% | Java distribution corridors and emerging regional hubs | Medium term (2-4 years) | </w:t>
      </w:r>
    </w:p>
    <w:p>
      <w:pPr/>
      <w:r>
        <w:rPr>
          <w:rFonts w:ascii="Helvetica Light" w:hAnsi="Helvetica Light" w:cs="Helvetica Light"/>
          <w:sz w:val="24"/>
          <w:sz-cs w:val="24"/>
        </w:rPr>
        <w:t xml:space="preserve">Relaxation of Foreign Investment Caps in Sub-sectors | +0.9% | Nationwide, with a focus on prime malls and large formats | Long term (≥ 4 years) | </w:t>
      </w:r>
    </w:p>
    <w:p>
      <w:pPr/>
      <w:r>
        <w:rPr>
          <w:rFonts w:ascii="Helvetica Light" w:hAnsi="Helvetica Light" w:cs="Helvetica Light"/>
          <w:sz w:val="24"/>
          <w:sz-cs w:val="24"/>
        </w:rPr>
        <w:t xml:space="preserve">Tourism Rebound Supporting Bali and Leisure Hubs | +0.6% | Bali, Yogyakarta, Lombok, Labuan Bajo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landscape in Indonesia’s retail market remains diverse, with modern minimarkets concentrated among a few leading chains while traditional and specialty retail channels stay highly fragmented. In convenience retail, the top two players dominate procurement, logistics, and network coverage, creating high barriers for mid-sized entrants. Large marketplaces lead E-commerce with strong brand awareness and high conversion rates, while omnichannel specialists continue expanding physical stores in electronics and fashion to reinforce loyalty. Traditional trade still accounts for the majority of grocery volume, making partnerships with FMCG manufacturers essential for modern retailers to maintain both direct chain distribution and coverage for small neighborhood outlets. This structure allows the market to support large-scale efficiencies in modern trade while sustaining micro-enterprise activity in local communities.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Company strategies in this environment focus on three main pillars. First, omnichannel capabilities, with lifestyle and electronics retailers integrating online catalogs, nationwide inventory, and rapid delivery from local stores or hubs. Second, data-driven merchandising and loyalty programs, which optimize assortment planning and promotion timing within narrow price bands that align with household budgets. Third, compliance capabilities, including Halal certification, QRIS adoption, and adherence to evolving payment and aggregator regulations, ensure operations meet both consumer expectations and regulatory requirements. Together, these approaches enable retailers to align execution with real household demand while maintaining financial and operational oversight.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Recent strategic initiatives illustrate these themes in practice. Lotte Shopping plans to strengthen its Indonesia operations and establish a regional headquarters in Singapore in 2026 to coordinate merchandising and partnerships across the region. IKEA Indonesia has expanded its digital presence through marketplace participation and partnered with the Ministry of Trade to integrate MSMEs into its stores and global supply chain. Leading lifestyle groups reported strong growth in the first half of 2025 and implemented technologies like Endless Aisle and BluTab to expand product access and accelerate deliveries from nearby locations. Supportive actions from banks and regulators, including interest rate cuts and real-time payment systems, have boosted the adoption of digital payments in physical retail. Overall, the market is being reshaped by firms that combine supply chain strength, omnichannel engagement, and compliance at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Indonesia Retail Industry Leaders* Indomaret (PT Indomarco Prismatama)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Alfamart (PT Sumber Alfaria Trijaya Tbk)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Hypermart &amp; Foodmart (PT Matahari Putra Prima Tbk)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Transmart Carrefour (PT Trans Retail Indonesia)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Hero Supermarket &amp; Guardian (PT Hero Supermarket Tbk)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is defined as retail revenue generated in Indonesia from selling finished consumer goods to end users through organized physical stores and regulated online commerce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informal warung kiosk transactions, wholesale depots, fuel stations, foodservice outlets, and automotive dealerships.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and Beverage</w:t>
      </w:r>
    </w:p>
    <w:p>
      <w:pPr/>
      <w:r>
        <w:rPr>
          <w:rFonts w:ascii="Helvetica Light" w:hAnsi="Helvetica Light" w:cs="Helvetica Light"/>
          <w:sz w:val="24"/>
          <w:sz-cs w:val="24"/>
        </w:rPr>
        <w:t xml:space="preserve">* Apparel and Footwear</w:t>
      </w:r>
    </w:p>
    <w:p>
      <w:pPr/>
      <w:r>
        <w:rPr>
          <w:rFonts w:ascii="Helvetica Light" w:hAnsi="Helvetica Light" w:cs="Helvetica Light"/>
          <w:sz w:val="24"/>
          <w:sz-cs w:val="24"/>
        </w:rPr>
        <w:t xml:space="preserve">* Consumer Electronics and Appliances</w:t>
      </w:r>
    </w:p>
    <w:p>
      <w:pPr/>
      <w:r>
        <w:rPr>
          <w:rFonts w:ascii="Helvetica Light" w:hAnsi="Helvetica Light" w:cs="Helvetica Light"/>
          <w:sz w:val="24"/>
          <w:sz-cs w:val="24"/>
        </w:rPr>
        <w:t xml:space="preserve">* Home and Furniture</w:t>
      </w:r>
    </w:p>
    <w:p>
      <w:pPr/>
      <w:r>
        <w:rPr>
          <w:rFonts w:ascii="Helvetica Light" w:hAnsi="Helvetica Light" w:cs="Helvetica Light"/>
          <w:sz w:val="24"/>
          <w:sz-cs w:val="24"/>
        </w:rPr>
        <w:t xml:space="preserve">* Health, Beauty and Personal Care</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Hypermarkets and Supermarkets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Convenience Stores and Mini-markets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Traditional (Warung / Kiosks)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Payment Method* Cash</w:t>
      </w:r>
    </w:p>
    <w:p>
      <w:pPr/>
      <w:r>
        <w:rPr>
          <w:rFonts w:ascii="Helvetica Light" w:hAnsi="Helvetica Light" w:cs="Helvetica Light"/>
          <w:sz w:val="24"/>
          <w:sz-cs w:val="24"/>
        </w:rPr>
        <w:t xml:space="preserve">* Debit &amp; Credit Cards</w:t>
      </w:r>
    </w:p>
    <w:p>
      <w:pPr/>
      <w:r>
        <w:rPr>
          <w:rFonts w:ascii="Helvetica Light" w:hAnsi="Helvetica Light" w:cs="Helvetica Light"/>
          <w:sz w:val="24"/>
          <w:sz-cs w:val="24"/>
        </w:rPr>
        <w:t xml:space="preserve">* E-Wallets</w:t>
      </w:r>
    </w:p>
    <w:p>
      <w:pPr/>
      <w:r>
        <w:rPr>
          <w:rFonts w:ascii="Helvetica Light" w:hAnsi="Helvetica Light" w:cs="Helvetica Light"/>
          <w:sz w:val="24"/>
          <w:sz-cs w:val="24"/>
        </w:rPr>
        <w:t xml:space="preserve">* Bank Transfers / Pay-Later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Greater Jakarta</w:t>
      </w:r>
    </w:p>
    <w:p>
      <w:pPr/>
      <w:r>
        <w:rPr>
          <w:rFonts w:ascii="Helvetica Light" w:hAnsi="Helvetica Light" w:cs="Helvetica Light"/>
          <w:sz w:val="24"/>
          <w:sz-cs w:val="24"/>
        </w:rPr>
        <w:t xml:space="preserve">* Rest of Java</w:t>
      </w:r>
    </w:p>
    <w:p>
      <w:pPr/>
      <w:r>
        <w:rPr>
          <w:rFonts w:ascii="Helvetica Light" w:hAnsi="Helvetica Light" w:cs="Helvetica Light"/>
          <w:sz w:val="24"/>
          <w:sz-cs w:val="24"/>
        </w:rPr>
        <w:t xml:space="preserve">* Sumatra</w:t>
      </w:r>
    </w:p>
    <w:p>
      <w:pPr/>
      <w:r>
        <w:rPr>
          <w:rFonts w:ascii="Helvetica Light" w:hAnsi="Helvetica Light" w:cs="Helvetica Light"/>
          <w:sz w:val="24"/>
          <w:sz-cs w:val="24"/>
        </w:rPr>
        <w:t xml:space="preserve">* Kalimantan</w:t>
      </w:r>
    </w:p>
    <w:p>
      <w:pPr/>
      <w:r>
        <w:rPr>
          <w:rFonts w:ascii="Helvetica Light" w:hAnsi="Helvetica Light" w:cs="Helvetica Light"/>
          <w:sz w:val="24"/>
          <w:sz-cs w:val="24"/>
        </w:rPr>
        <w:t xml:space="preserve">* Sulawesi</w:t>
      </w:r>
    </w:p>
    <w:p>
      <w:pPr/>
      <w:r>
        <w:rPr>
          <w:rFonts w:ascii="Helvetica Light" w:hAnsi="Helvetica Light" w:cs="Helvetica Light"/>
          <w:sz w:val="24"/>
          <w:sz-cs w:val="24"/>
        </w:rPr>
        <w:t xml:space="preserve">* Bali &amp; Nusa Tenggara</w:t>
      </w:r>
    </w:p>
    <w:p>
      <w:pPr/>
      <w:r>
        <w:rPr>
          <w:rFonts w:ascii="Helvetica Light" w:hAnsi="Helvetica Light" w:cs="Helvetica Light"/>
          <w:sz w:val="24"/>
          <w:sz-cs w:val="24"/>
        </w:rPr>
        <w:t xml:space="preserve">* Papua &amp; Maluku</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of the Indonesia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Indonesia retail market size is USD 60.09 billion in 2026 and is projected to reach USD 79.11 billion by 2031 at a 5.65% CAGR, supported by modern trade expansion and digital payment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are set to grow fastest in Indonesia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 beauty, and personal care are forecast to grow at an 8.48% CAGR, outpacing staples, while food and beverages remain the largest base for transaction frequency and store traffic.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payments changing in Indonesian retail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Cash still carries a significant share, but e-wallets are projected to grow at a 9.74% CAGR, and QRIS plus BI-FAST are lifting digital transaction volumes across convenience, supermarket, and specialty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offer the most attractive growth beyond Jakarta?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Sulawesi is forecast as the fastest-growing region at an 8.75% CAGR, while the Rest of Java contributes scale, and Bali benefits from tourism-linked discretionary demand and cashless readiness.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channels are winning in the Indonesia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Convenience stores and minimarkets lead with a 42.38% share in 2025, supermarkets are expanding in residential clusters, and omnichannel approaches are strengthening with store-to-home delivery and QRIS-enabled checkout.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retailers building competitive advantage in Indonesia?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Leaders combine national logistics with data-driven merchandising and regulatory compliance, including QRIS integration, Halal certification where relevant, and omnichannel capabilities that improve conversion and service speed.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