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IPM Pheromone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Biologicals, Biopesticides &amp; Crop Protection (Agriculture &amp; Agribusiness)  </w:t>
      </w:r>
    </w:p>
    <w:p>
      <w:pPr/>
      <w:r>
        <w:rPr>
          <w:rFonts w:ascii="Helvetica Light" w:hAnsi="Helvetica Light" w:cs="Helvetica Light"/>
          <w:sz w:val="24"/>
          <w:sz-cs w:val="24"/>
        </w:rPr>
        <w:t xml:space="preserve">&gt; **Source:** [https://www.mordorintelligence.com/industry-reports/ipm-pheromone-market](https://www.mordorintelligence.com/industry-reports/ipm-pheromone-market)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1.51 billion |</w:t>
      </w:r>
    </w:p>
    <w:p>
      <w:pPr/>
      <w:r>
        <w:rPr>
          <w:rFonts w:ascii="Helvetica Light" w:hAnsi="Helvetica Light" w:cs="Helvetica Light"/>
          <w:sz w:val="24"/>
          <w:sz-cs w:val="24"/>
        </w:rPr>
        <w:t xml:space="preserve">| **Projected Forecast (2031)** | USD 1.51 billion |</w:t>
      </w:r>
    </w:p>
    <w:p>
      <w:pPr/>
      <w:r>
        <w:rPr>
          <w:rFonts w:ascii="Helvetica Light" w:hAnsi="Helvetica Light" w:cs="Helvetica Light"/>
          <w:sz w:val="24"/>
          <w:sz-cs w:val="24"/>
        </w:rPr>
        <w:t xml:space="preserve">| **Growth Rate (CAGR)** | 12.95 %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IPM Pheromone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![IPM Pheromone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![IPM Pheromone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![IPM Pheromone Market Share by Mode of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![IPM Pheromone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![IPM Pheromone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1.51 Billion | </w:t>
      </w:r>
    </w:p>
    <w:p>
      <w:pPr/>
      <w:r>
        <w:rPr>
          <w:rFonts w:ascii="Helvetica Light" w:hAnsi="Helvetica Light" w:cs="Helvetica Light"/>
          <w:sz w:val="24"/>
          <w:sz-cs w:val="24"/>
        </w:rPr>
        <w:t xml:space="preserve">Market Size (2031) | USD 2.78 Billion | </w:t>
      </w:r>
    </w:p>
    <w:p>
      <w:pPr/>
      <w:r>
        <w:rPr>
          <w:rFonts w:ascii="Helvetica Light" w:hAnsi="Helvetica Light" w:cs="Helvetica Light"/>
          <w:sz w:val="24"/>
          <w:sz-cs w:val="24"/>
        </w:rPr>
        <w:t xml:space="preserve">Growth Rate (2026 - 2031) | 12.95 %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IPM Pheromone Market Analysis by Mordor IntelligenceThe IPM pheromone market size is expected to grow from USD 1.34 billion in 2025 to USD 1.51 billion in 2026 and is forecast to reach USD 2.78 billion by 2031 at 12.95% CAGR over 2026-2031. Robust demand stems from tightening residue limits, shrinking arable land, carbon-credit incentives, and subsidy programs that lower entry barriers. Mating disruption dominates perennial crops because season-long efficacy reduces spray labor, while mass trapping gains momentum as precision-agriculture tools pinpoint pest hotspots. Biodegradable dispensers, microencapsulation advances, and fermentation-based synthesis fortify competitive moats for incumbents. Europe leads adoption under the Sustainable Use of Pesticides Directive, but Asia-Pacific delivers the fastest growth on the back of China’s Green Development Plan and India’s smallholder subsidies. North America monetizes organic premiums, whereas South America and Africa present white-space opportunities as export horticulture expands.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pheromones held a 45.40% revenue share in 2025, while aggregation pheromones are projected to expand at a 14.85% CAGR through 2031.</w:t>
      </w:r>
    </w:p>
    <w:p>
      <w:pPr/>
      <w:r>
        <w:rPr>
          <w:rFonts w:ascii="Helvetica Light" w:hAnsi="Helvetica Light" w:cs="Helvetica Light"/>
          <w:sz w:val="24"/>
          <w:sz-cs w:val="24"/>
        </w:rPr>
        <w:t xml:space="preserve">* By function, mating disruption held 51.60% of IPM pheromone market share in 2025, and mass trapping is forecast to register the fastest 14.10% CAGR to 2031.</w:t>
      </w:r>
    </w:p>
    <w:p>
      <w:pPr/>
      <w:r>
        <w:rPr>
          <w:rFonts w:ascii="Helvetica Light" w:hAnsi="Helvetica Light" w:cs="Helvetica Light"/>
          <w:sz w:val="24"/>
          <w:sz-cs w:val="24"/>
        </w:rPr>
        <w:t xml:space="preserve">* By mode of application, dispensers commanded 41.10% of IPM pheromone market share in 2025, while the same segment is projected to post a 13.45% CAGR through 2031.</w:t>
      </w:r>
    </w:p>
    <w:p>
      <w:pPr/>
      <w:r>
        <w:rPr>
          <w:rFonts w:ascii="Helvetica Light" w:hAnsi="Helvetica Light" w:cs="Helvetica Light"/>
          <w:sz w:val="24"/>
          <w:sz-cs w:val="24"/>
        </w:rPr>
        <w:t xml:space="preserve">* By crop, field crops accounted for 39.20% of the IPM pheromone market size in 2025, whereas vegetable crops are anticipated to grow at a 13.85% CAGR to 2031.</w:t>
      </w:r>
    </w:p>
    <w:p>
      <w:pPr/>
      <w:r>
        <w:rPr>
          <w:rFonts w:ascii="Helvetica Light" w:hAnsi="Helvetica Light" w:cs="Helvetica Light"/>
          <w:sz w:val="24"/>
          <w:sz-cs w:val="24"/>
        </w:rPr>
        <w:t xml:space="preserve">* By geography, Europe led with 31.80% of IPM pheromone market share in 2025, and Asia-Pacific is forecast to expand at a 12.20% CAGR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IPM Pheromone Market*Driver | (~) % Impact on CAGR Forecast | Geographic Relevance | Impact Timeline | </w:t>
      </w:r>
    </w:p>
    <w:p>
      <w:pPr/>
      <w:r>
        <w:rPr>
          <w:rFonts w:ascii="Helvetica Light" w:hAnsi="Helvetica Light" w:cs="Helvetica Light"/>
          <w:sz w:val="24"/>
          <w:sz-cs w:val="24"/>
        </w:rPr>
        <w:t xml:space="preserve">Shrinking agricultural land | +2.5% | Global, strongest in Asia-Pacific and Europe | Long term (≥ 4 years) | </w:t>
      </w:r>
    </w:p>
    <w:p>
      <w:pPr/>
      <w:r>
        <w:rPr>
          <w:rFonts w:ascii="Helvetica Light" w:hAnsi="Helvetica Light" w:cs="Helvetica Light"/>
          <w:sz w:val="24"/>
          <w:sz-cs w:val="24"/>
        </w:rPr>
        <w:t xml:space="preserve">Growing awareness of sustainable pest management | +2.8% | North America and European Union leading, Asia-Pacific rising | Medium term (2-4 years) | </w:t>
      </w:r>
    </w:p>
    <w:p>
      <w:pPr/>
      <w:r>
        <w:rPr>
          <w:rFonts w:ascii="Helvetica Light" w:hAnsi="Helvetica Light" w:cs="Helvetica Light"/>
          <w:sz w:val="24"/>
          <w:sz-cs w:val="24"/>
        </w:rPr>
        <w:t xml:space="preserve">Increasing demand for crop-protection solutions | +2.3% | Global, yield-intensive regions | Medium term (2-4 years) | </w:t>
      </w:r>
    </w:p>
    <w:p>
      <w:pPr/>
      <w:r>
        <w:rPr>
          <w:rFonts w:ascii="Helvetica Light" w:hAnsi="Helvetica Light" w:cs="Helvetica Light"/>
          <w:sz w:val="24"/>
          <w:sz-cs w:val="24"/>
        </w:rPr>
        <w:t xml:space="preserve">Government incentive programs for pheromone-based IPM | +2.0% | North America, European Union, India, and China | Short term (≤ 2 years) | </w:t>
      </w:r>
    </w:p>
    <w:p>
      <w:pPr/>
      <w:r>
        <w:rPr>
          <w:rFonts w:ascii="Helvetica Light" w:hAnsi="Helvetica Light" w:cs="Helvetica Light"/>
          <w:sz w:val="24"/>
          <w:sz-cs w:val="24"/>
        </w:rPr>
        <w:t xml:space="preserve">Advances in microencapsulation for controlled release | +1.8% | Global, R&amp;D hubs in North America and Japan | Long term (≥ 4 years) | </w:t>
      </w:r>
    </w:p>
    <w:p>
      <w:pPr/>
      <w:r>
        <w:rPr>
          <w:rFonts w:ascii="Helvetica Light" w:hAnsi="Helvetica Light" w:cs="Helvetica Light"/>
          <w:sz w:val="24"/>
          <w:sz-cs w:val="24"/>
        </w:rPr>
        <w:t xml:space="preserve">Carbon-credit-linked adoption of low-emission pest control | +1.2% | European Union and North America, pilots in South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IPM pheromone market exhibits moderate concentration: the top five companies, Suterra, Shin-Etsu Chemical, BASF, ISCA, and Provivi, held modest percentage of revenue in 2025. Regional fragmentation persists as local formulators market generic blends 30%-40% cheaper. Intellectual property around microencapsulation elevates entry barriers; challengers, therefore, pivot to fermentation, even though yields lag and costs stay high. Suterra leverages vertical integration from synthesis to dispenser fabrication, enjoying 18%-22% cost advantages and strengthening positions in North America and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Provivi’s alliance with Syngenta rolled out YSB Eco-Dispenser for rice and FAW Eco-Granules for maize, pairing pheromones with adjuvants that extend persistence under humidity. ISCA’s SPLAT carrier, a hand-applied paste, halves application labour, aligning with labour-scarce regions. Russell IPM and Koppert Biological Systems bridge monitoring and mating disruption portfolios, providing turnkey IPM packages to European greenhouses. Bedoukian Research, Pherobank, Novagrica, and Alpha Scents specialise in custom blends for niche pests, while Blue Magpie India scales low-cost traps for smallholders.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polymers, drone deployment, and data-linked advisory platforms serve as primary differentiation axes. Generic production expansion in China and India is anticipated to compress margins 8%-12% through 2030. Patent expirations after 2027 will intensify price pressure, but leading firms bank on advanced carriers and bundled agronomic services to defend share. The resulting landscape balances innovation among leaders with cost competition from regionals, creating a dynamic yet orderly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IPM Pheromone Industry Leaders* Suterra (The Wonderful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Shin-Etsu Chemical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Russell IPM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ISCA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pheromone based solutions used in integrated pest management to detect, monitor, mass trap, or disrupt mating of insect pests, mainly across crop production settings. Revenues are captured for pheromone products and the application formats used in pest control decisions.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excludes conventional chemical pesticides, biological control agents, and general trap hardware sold without pheromone lures or active pheromone formulations.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Type* Pheromones</w:t>
      </w:r>
    </w:p>
    <w:p>
      <w:pPr/>
      <w:r>
        <w:rPr>
          <w:rFonts w:ascii="Helvetica Light" w:hAnsi="Helvetica Light" w:cs="Helvetica Light"/>
          <w:sz w:val="24"/>
          <w:sz-cs w:val="24"/>
        </w:rPr>
        <w:t xml:space="preserve">* Aggregation pheromones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Function* Mating disruption</w:t>
      </w:r>
    </w:p>
    <w:p>
      <w:pPr/>
      <w:r>
        <w:rPr>
          <w:rFonts w:ascii="Helvetica Light" w:hAnsi="Helvetica Light" w:cs="Helvetica Light"/>
          <w:sz w:val="24"/>
          <w:sz-cs w:val="24"/>
        </w:rPr>
        <w:t xml:space="preserve">* Detection and monitoring</w:t>
      </w:r>
    </w:p>
    <w:p>
      <w:pPr/>
      <w:r>
        <w:rPr>
          <w:rFonts w:ascii="Helvetica Light" w:hAnsi="Helvetica Light" w:cs="Helvetica Light"/>
          <w:sz w:val="24"/>
          <w:sz-cs w:val="24"/>
        </w:rPr>
        <w:t xml:space="preserve">* Mass trapping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Mode of Application* Traps</w:t>
      </w:r>
    </w:p>
    <w:p>
      <w:pPr/>
      <w:r>
        <w:rPr>
          <w:rFonts w:ascii="Helvetica Light" w:hAnsi="Helvetica Light" w:cs="Helvetica Light"/>
          <w:sz w:val="24"/>
          <w:sz-cs w:val="24"/>
        </w:rPr>
        <w:t xml:space="preserve">* Sprayers</w:t>
      </w:r>
    </w:p>
    <w:p>
      <w:pPr/>
      <w:r>
        <w:rPr>
          <w:rFonts w:ascii="Helvetica Light" w:hAnsi="Helvetica Light" w:cs="Helvetica Light"/>
          <w:sz w:val="24"/>
          <w:sz-cs w:val="24"/>
        </w:rPr>
        <w:t xml:space="preserve">* Dispensers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Crop* Field crops</w:t>
      </w:r>
    </w:p>
    <w:p>
      <w:pPr/>
      <w:r>
        <w:rPr>
          <w:rFonts w:ascii="Helvetica Light" w:hAnsi="Helvetica Light" w:cs="Helvetica Light"/>
          <w:sz w:val="24"/>
          <w:sz-cs w:val="24"/>
        </w:rPr>
        <w:t xml:space="preserve">* Vegetable crops</w:t>
      </w:r>
    </w:p>
    <w:p>
      <w:pPr/>
      <w:r>
        <w:rPr>
          <w:rFonts w:ascii="Helvetica Light" w:hAnsi="Helvetica Light" w:cs="Helvetica Light"/>
          <w:sz w:val="24"/>
          <w:sz-cs w:val="24"/>
        </w:rPr>
        <w:t xml:space="preserve">* Other crops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Rest of the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IPM pheromone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IPM pheromone market size is USD 1.51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IPM pheromone adoption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post a 12.95% CAGR over 2026-2031 and reach USD 2.78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function leads pheromone usage?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Mating disruption accounts for 51.60% of market share, especially in perennial tree crops.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see the fastest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anticipated to expand at a 12.20% CAGR through 2031 on the back of Chinese and Indian subsidy programs.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