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Light Commercial Vehicles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Vehicles &amp; Fleet (Automotive &amp; Transportation)  </w:t>
      </w:r>
    </w:p>
    <w:p>
      <w:pPr/>
      <w:r>
        <w:rPr>
          <w:rFonts w:ascii="Helvetica Light" w:hAnsi="Helvetica Light" w:cs="Helvetica Light"/>
          <w:sz w:val="24"/>
          <w:sz-cs w:val="24"/>
        </w:rPr>
        <w:t xml:space="preserve">&gt; **Source:** [https://www.mordorintelligence.com/industry-reports/light-commercial-vehicle-market](https://www.mordorintelligence.com/industry-reports/light-commercial-vehicle-market)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707.17 billion |</w:t>
      </w:r>
    </w:p>
    <w:p>
      <w:pPr/>
      <w:r>
        <w:rPr>
          <w:rFonts w:ascii="Helvetica Light" w:hAnsi="Helvetica Light" w:cs="Helvetica Light"/>
          <w:sz w:val="24"/>
          <w:sz-cs w:val="24"/>
        </w:rPr>
        <w:t xml:space="preserve">| **Projected Forecast (2031)** | USD 707.17 billion |</w:t>
      </w:r>
    </w:p>
    <w:p>
      <w:pPr/>
      <w:r>
        <w:rPr>
          <w:rFonts w:ascii="Helvetica Light" w:hAnsi="Helvetica Light" w:cs="Helvetica Light"/>
          <w:sz w:val="24"/>
          <w:sz-cs w:val="24"/>
        </w:rPr>
        <w:t xml:space="preserve">| **Growth Rate (CAGR)** | 6.11 %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Light Commercial Vehicles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 Commercial Vehicles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 Commercial Vehicles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 Commercial Vehicles Market Share by Ownership Model,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 Commercial Vehicles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 Commercial Vehicles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525.71 Billion | </w:t>
      </w:r>
    </w:p>
    <w:p>
      <w:pPr/>
      <w:r>
        <w:rPr>
          <w:rFonts w:ascii="Helvetica Light" w:hAnsi="Helvetica Light" w:cs="Helvetica Light"/>
          <w:sz w:val="24"/>
          <w:sz-cs w:val="24"/>
        </w:rPr>
        <w:t xml:space="preserve">Market Size (2031) | USD 707.17 Billion | </w:t>
      </w:r>
    </w:p>
    <w:p>
      <w:pPr/>
      <w:r>
        <w:rPr>
          <w:rFonts w:ascii="Helvetica Light" w:hAnsi="Helvetica Light" w:cs="Helvetica Light"/>
          <w:sz w:val="24"/>
          <w:sz-cs w:val="24"/>
        </w:rPr>
        <w:t xml:space="preserve">Growth Rate (2026 - 2031) | 6.11 %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 Commercial Vehicles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light commercial vehicles market size is expected to grow from USD 495.44 billion in 2025 to USD 525.71 billion in 2026 and is forecast to reach USD 707.17 billion by 2031 at a 6.11% CAGR over 2026–2031. In developed economies, e-commerce orders now represent a significant portion of retail sales. This shift has led parcel and grocery operators to phase out their old diesel fleets. Instead, they're opting for specialized vans and pickups that comply with stringent urban access regulations. In Europe, the push is further fueled by the upcoming implementation of stricter real-world NOx limits. Meanwhile, in the U.S., recent legislative measures are significantly reducing the cost gap for electric vans. Battery costs are on a rapid decline, with projections indicating further reductions in the near future. This trend is narrowing the cost disparity between electric and traditional internal-combustion drivetrains. As Chinese players like BYD ramp up overseas production, competition intensifies. At the same time, established players are consolidating platforms to safeguard their foothold in the light commercial vehicle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vehicle type, pick-up trucks controlled 45.57% of the light commercial vehicle market share in 2025, whereas vans are set to expand at a 6.15% CAGR through 2031.</w:t>
      </w:r>
    </w:p>
    <w:p>
      <w:pPr/>
      <w:r>
        <w:rPr>
          <w:rFonts w:ascii="Helvetica Light" w:hAnsi="Helvetica Light" w:cs="Helvetica Light"/>
          <w:sz w:val="24"/>
          <w:sz-cs w:val="24"/>
        </w:rPr>
        <w:t xml:space="preserve">* By propulsion, internal-combustion units held 77.81% share in 2025, but electric variants show the highest 6.22% CAGR to 2031.</w:t>
      </w:r>
    </w:p>
    <w:p>
      <w:pPr/>
      <w:r>
        <w:rPr>
          <w:rFonts w:ascii="Helvetica Light" w:hAnsi="Helvetica Light" w:cs="Helvetica Light"/>
          <w:sz w:val="24"/>
          <w:sz-cs w:val="24"/>
        </w:rPr>
        <w:t xml:space="preserve">* By application, commercial delivery accounted for 57.81% of the light commercial vehicle market size in 2025 and advances at a 6.16% CAGR.</w:t>
      </w:r>
    </w:p>
    <w:p>
      <w:pPr/>
      <w:r>
        <w:rPr>
          <w:rFonts w:ascii="Helvetica Light" w:hAnsi="Helvetica Light" w:cs="Helvetica Light"/>
          <w:sz w:val="24"/>
          <w:sz-cs w:val="24"/>
        </w:rPr>
        <w:t xml:space="preserve">* By ownership model, fleet-owned assets represented a 75.53% share in 2025, while subscription grew at a 6.26% CAGR through 2031.</w:t>
      </w:r>
    </w:p>
    <w:p>
      <w:pPr/>
      <w:r>
        <w:rPr>
          <w:rFonts w:ascii="Helvetica Light" w:hAnsi="Helvetica Light" w:cs="Helvetica Light"/>
          <w:sz w:val="24"/>
          <w:sz-cs w:val="24"/>
        </w:rPr>
        <w:t xml:space="preserve">* By payload class, 2.6–3.5-ton vehicles captured 68.83% share in 2025; sub-2.5-ton models record the fastest 6.28% CAGR.</w:t>
      </w:r>
    </w:p>
    <w:p>
      <w:pPr/>
      <w:r>
        <w:rPr>
          <w:rFonts w:ascii="Helvetica Light" w:hAnsi="Helvetica Light" w:cs="Helvetica Light"/>
          <w:sz w:val="24"/>
          <w:sz-cs w:val="24"/>
        </w:rPr>
        <w:t xml:space="preserve">* By geography, Asia Pacific held 38.62% of the light commercial vehicle market in 2025 and maintains a 6.18%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Light Commercial Vehicles Market*Driver | (~) % Impact on CAGR Forecast | Geographic Relevance | Impact Timeline | </w:t>
      </w:r>
    </w:p>
    <w:p>
      <w:pPr/>
      <w:r>
        <w:rPr>
          <w:rFonts w:ascii="Helvetica Light" w:hAnsi="Helvetica Light" w:cs="Helvetica Light"/>
          <w:sz w:val="24"/>
          <w:sz-cs w:val="24"/>
        </w:rPr>
        <w:t xml:space="preserve">Stringent Global CO₂ &amp; NOx Standards | +1.2% | Europe (Euro 7), North America (EPA Clean Truck Rule), China (China VI), India (Bharat Stage VI) | Medium term (2-4 years) | </w:t>
      </w:r>
    </w:p>
    <w:p>
      <w:pPr/>
      <w:r>
        <w:rPr>
          <w:rFonts w:ascii="Helvetica Light" w:hAnsi="Helvetica Light" w:cs="Helvetica Light"/>
          <w:sz w:val="24"/>
          <w:sz-cs w:val="24"/>
        </w:rPr>
        <w:t xml:space="preserve">Exploding Last-Mile E-Commerce Demand | +0.9% | Global, with concentration in North America, Europe, China, and urban India | Short term (≤ 2 years) | </w:t>
      </w:r>
    </w:p>
    <w:p>
      <w:pPr/>
      <w:r>
        <w:rPr>
          <w:rFonts w:ascii="Helvetica Light" w:hAnsi="Helvetica Light" w:cs="Helvetica Light"/>
          <w:sz w:val="24"/>
          <w:sz-cs w:val="24"/>
        </w:rPr>
        <w:t xml:space="preserve">Rapid Battery-Cost Decline | +0.8% | Global, with early adoption in China, Europe, and North America | Medium term (2-4 years) | </w:t>
      </w:r>
    </w:p>
    <w:p>
      <w:pPr/>
      <w:r>
        <w:rPr>
          <w:rFonts w:ascii="Helvetica Light" w:hAnsi="Helvetica Light" w:cs="Helvetica Light"/>
          <w:sz w:val="24"/>
          <w:sz-cs w:val="24"/>
        </w:rPr>
        <w:t xml:space="preserve">Fleet Telematics Lowering TCO | +0.6% | North America, Europe, and Asia Pacific commercial hubs | Long term (≥ 4 years) | </w:t>
      </w:r>
    </w:p>
    <w:p>
      <w:pPr/>
      <w:r>
        <w:rPr>
          <w:rFonts w:ascii="Helvetica Light" w:hAnsi="Helvetica Light" w:cs="Helvetica Light"/>
          <w:sz w:val="24"/>
          <w:sz-cs w:val="24"/>
        </w:rPr>
        <w:t xml:space="preserve">Modular Upfitting Ecosystems Shortening Delivery Lead-Time | +0.5% | North America and Europe, with emerging adoption in Asia Pacific | Medium term (2-4 years) | </w:t>
      </w:r>
    </w:p>
    <w:p>
      <w:pPr/>
      <w:r>
        <w:rPr>
          <w:rFonts w:ascii="Helvetica Light" w:hAnsi="Helvetica Light" w:cs="Helvetica Light"/>
          <w:sz w:val="24"/>
          <w:sz-cs w:val="24"/>
        </w:rPr>
        <w:t xml:space="preserve">Subscription-Based VaaS Models | +0.4% | North America and Europe, pilot programs in Asia 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top five producers—Ford, Stellantis, Mercedes-Benz, Renault, and Toyota—accounted for nearly half of the output, paving the way for emerging contenders. While Stellantis optimizes R&amp;D costs by utilizing its STLA Medium platform across multiple brands, BYD's in-house integration of battery, motor, and software significantly reduces material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BYD's factory in Hungary circumvents tariff hurdles and cuts down freight expenses for European deliveries. Rivian's comprehensive vertical integration allows for swift feature updates, a demand from Amazon, leading to operating costs per mile that are notably lower than those of converted diesel vans.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Patent applications highlight a focus on bi-directional charging, battery thermal management, and predictive maintenance, underscoring the shift towards software differentiation over traditional manufacturing advantages in the light commercial vehicle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 Commercial Vehicles Industry Leaders* BAIC Motor Corporation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Dongfeng Motor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Ford Motor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Motors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Volkswagen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Light Commercial Vehicles Market Report ScopeThe scope of the report includes Vehicle Type (Pick-Up Trucks and Vans), Propulsion Type (ICE, Hybrid, Battery-Electric, and Fuel-Cell Electric), Application (Commercial Delivery &amp; Logistics and More), Ownership Model (Fleet-Owned and More), Payload (Less Than or Equal To 2. 5t and More), and Geography.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Vehicle TypePick-up Trucks | </w:t>
      </w:r>
    </w:p>
    <w:p>
      <w:pPr/>
      <w:r>
        <w:rPr>
          <w:rFonts w:ascii="Helvetica Light" w:hAnsi="Helvetica Light" w:cs="Helvetica Light"/>
          <w:sz w:val="24"/>
          <w:sz-cs w:val="24"/>
        </w:rPr>
        <w:t xml:space="preserve">Vans (Compact, Medium, Heavy)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&amp; New Zealand | </w:t>
      </w:r>
    </w:p>
    <w:p>
      <w:pPr/>
      <w:r>
        <w:rPr>
          <w:rFonts w:ascii="Helvetica Light" w:hAnsi="Helvetica Light" w:cs="Helvetica Light"/>
          <w:sz w:val="24"/>
          <w:sz-cs w:val="24"/>
        </w:rPr>
        <w:t xml:space="preserve"> | Rest of Asia 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global light commercial vehicle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707.17 billion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type held the largest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Pick-up trucks held 45.57% of the 2025 volume, the largest among all classes.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electric share of light commercial vehicles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variants are expanding at a 6.22%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commands the largest regional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captured 38.62% of global volume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incentive in the United States supports electric commercial vans?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Section 45W of the Inflation Reduction Act offers up to USD 40,000 per qualifying electric van.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payload sweet spot for urban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Vehicles in the 2.6–3.5-ton gross weight range comprised 68.83% of 2025 demand.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