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LNG Vehicle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Vehicles &amp; Fleet (Automotive &amp; Transportation)  </w:t>
      </w:r>
    </w:p>
    <w:p>
      <w:pPr/>
      <w:r>
        <w:rPr>
          <w:rFonts w:ascii="Helvetica Light" w:hAnsi="Helvetica Light" w:cs="Helvetica Light"/>
          <w:sz w:val="24"/>
          <w:sz-cs w:val="24"/>
        </w:rPr>
        <w:t xml:space="preserve">&gt; **Source:** [https://www.mordorintelligence.com/industry-reports/lng-vehicle-market](https://www.mordorintelligence.com/industry-reports/lng-vehicle-market)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33.70 billion |</w:t>
      </w:r>
    </w:p>
    <w:p>
      <w:pPr/>
      <w:r>
        <w:rPr>
          <w:rFonts w:ascii="Helvetica Light" w:hAnsi="Helvetica Light" w:cs="Helvetica Light"/>
          <w:sz w:val="24"/>
          <w:sz-cs w:val="24"/>
        </w:rPr>
        <w:t xml:space="preserve">| **Projected Forecast (2031)** | USD 33.70 billion |</w:t>
      </w:r>
    </w:p>
    <w:p>
      <w:pPr/>
      <w:r>
        <w:rPr>
          <w:rFonts w:ascii="Helvetica Light" w:hAnsi="Helvetica Light" w:cs="Helvetica Light"/>
          <w:sz w:val="24"/>
          <w:sz-cs w:val="24"/>
        </w:rPr>
        <w:t xml:space="preserve">| **Growth Rate (CAGR)** | 3.21 %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LNG Vehicle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![LNG Vehicle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![LNG Vehicle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![LNG Vehicle Market Share by Tank Capacity,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![LNG Vehicle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![LNG Vehicle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33.70 Billion | </w:t>
      </w:r>
    </w:p>
    <w:p>
      <w:pPr/>
      <w:r>
        <w:rPr>
          <w:rFonts w:ascii="Helvetica Light" w:hAnsi="Helvetica Light" w:cs="Helvetica Light"/>
          <w:sz w:val="24"/>
          <w:sz-cs w:val="24"/>
        </w:rPr>
        <w:t xml:space="preserve">Market Size (2031) | USD 39.47 Billion | </w:t>
      </w:r>
    </w:p>
    <w:p>
      <w:pPr/>
      <w:r>
        <w:rPr>
          <w:rFonts w:ascii="Helvetica Light" w:hAnsi="Helvetica Light" w:cs="Helvetica Light"/>
          <w:sz w:val="24"/>
          <w:sz-cs w:val="24"/>
        </w:rPr>
        <w:t xml:space="preserve">Growth Rate (2026 - 2031) | 3.21 %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LNG Vehicle Market Analysis by Mordor IntelligenceThe LNG vehicle market size was valued at USD 32.65 billion in 2025, is estimated at USD 33.70 billion in 2026, and is projected to reach USD 39.47 billion by 2031, at a CAGR of 3.21% during the forecast period (2026–2031). Current expansion stems from enforceable emissions mandates, active corridor build-outs, and measurable fleet economics rather than speculative demand. Long-haul freight operators continue to anchor volumes, yet growth momentum is shifting toward medium-duty and urban distribution use cases as range-extending cylinder technology matures. Supply-side competition centers on repurposed diesel platforms, while value migrates to fuel-system specialists and infrastructure owners who secure recurring revenue streams. Regional adoption remains uneven: Asia-Pacific accounts for nearly half of global deliveries, North America leverages abundant gas supply and incentives, and Europe balances bio-LNG pathways with stringent zero-emission targets.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vehicle type, heavy-duty trucks led with 53.29% of revenue share in 2025. Medium-duty trucks recorded the quickest expansion at a 6.89% CAGR through 2031.</w:t>
      </w:r>
    </w:p>
    <w:p>
      <w:pPr/>
      <w:r>
        <w:rPr>
          <w:rFonts w:ascii="Helvetica Light" w:hAnsi="Helvetica Light" w:cs="Helvetica Light"/>
          <w:sz w:val="24"/>
          <w:sz-cs w:val="24"/>
        </w:rPr>
        <w:t xml:space="preserve">* By application, freight transport accounted for 49.47% of revenue share in 2025, while personal vehicles are projected to grow at a 6.72% CAGR by 2031.</w:t>
      </w:r>
    </w:p>
    <w:p>
      <w:pPr/>
      <w:r>
        <w:rPr>
          <w:rFonts w:ascii="Helvetica Light" w:hAnsi="Helvetica Light" w:cs="Helvetica Light"/>
          <w:sz w:val="24"/>
          <w:sz-cs w:val="24"/>
        </w:rPr>
        <w:t xml:space="preserve">* By tank capacity, 300–500 kg systems accounted for 49.27% of revenue share in 2025; tanks above 500 kg are projected to grow at a 7.19% CAGR through 2031.</w:t>
      </w:r>
    </w:p>
    <w:p>
      <w:pPr/>
      <w:r>
        <w:rPr>
          <w:rFonts w:ascii="Helvetica Light" w:hAnsi="Helvetica Light" w:cs="Helvetica Light"/>
          <w:sz w:val="24"/>
          <w:sz-cs w:val="24"/>
        </w:rPr>
        <w:t xml:space="preserve">* By drive system, conventional engines accounted for 85.38% of revenue share in 2025, whereas hybrid powertrains are advancing at a 7.29% CAGR through 2031.</w:t>
      </w:r>
    </w:p>
    <w:p>
      <w:pPr/>
      <w:r>
        <w:rPr>
          <w:rFonts w:ascii="Helvetica Light" w:hAnsi="Helvetica Light" w:cs="Helvetica Light"/>
          <w:sz w:val="24"/>
          <w:sz-cs w:val="24"/>
        </w:rPr>
        <w:t xml:space="preserve">* By geography, Asia-Pacific accounted for 48.49% of revenue share in 2025 and is set to grow at a 7.42%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LNG Vehicle Market*Driver | (~) % Impact on CAGR Forecast | Geographic Relevance | Impact Timeline | </w:t>
      </w:r>
    </w:p>
    <w:p>
      <w:pPr/>
      <w:r>
        <w:rPr>
          <w:rFonts w:ascii="Helvetica Light" w:hAnsi="Helvetica Light" w:cs="Helvetica Light"/>
          <w:sz w:val="24"/>
          <w:sz-cs w:val="24"/>
        </w:rPr>
        <w:t xml:space="preserve">Global HDV CO₂/NOx Rules | +0.8% | Europe, North America, China | Medium term (2-4 years) | </w:t>
      </w:r>
    </w:p>
    <w:p>
      <w:pPr/>
      <w:r>
        <w:rPr>
          <w:rFonts w:ascii="Helvetica Light" w:hAnsi="Helvetica Light" w:cs="Helvetica Light"/>
          <w:sz w:val="24"/>
          <w:sz-cs w:val="24"/>
        </w:rPr>
        <w:t xml:space="preserve">Expanding LNG Corridor Network | +0.6% | Europe, China, United States | Long term (≥ 4 years) | </w:t>
      </w:r>
    </w:p>
    <w:p>
      <w:pPr/>
      <w:r>
        <w:rPr>
          <w:rFonts w:ascii="Helvetica Light" w:hAnsi="Helvetica Light" w:cs="Helvetica Light"/>
          <w:sz w:val="24"/>
          <w:sz-cs w:val="24"/>
        </w:rPr>
        <w:t xml:space="preserve">Diesel-to-LNG Fuel Cost Edge | +0.5% | Asia-Pacific core, spill-over global | Short term (≤ 2 years) | </w:t>
      </w:r>
    </w:p>
    <w:p>
      <w:pPr/>
      <w:r>
        <w:rPr>
          <w:rFonts w:ascii="Helvetica Light" w:hAnsi="Helvetica Light" w:cs="Helvetica Light"/>
          <w:sz w:val="24"/>
          <w:sz-cs w:val="24"/>
        </w:rPr>
        <w:t xml:space="preserve">Incentives and Toll Relief | +0.4% | Europe, California, select Asia-Pacific regions | Medium term (2-4 years) | </w:t>
      </w:r>
    </w:p>
    <w:p>
      <w:pPr/>
      <w:r>
        <w:rPr>
          <w:rFonts w:ascii="Helvetica Light" w:hAnsi="Helvetica Light" w:cs="Helvetica Light"/>
          <w:sz w:val="24"/>
          <w:sz-cs w:val="24"/>
        </w:rPr>
        <w:t xml:space="preserve">China 3,500 km Dual-Cylinder Tech | +0.3% | China dominant, expanding across Asia-Pacific | Long term (≥ 4 years) | </w:t>
      </w:r>
    </w:p>
    <w:p>
      <w:pPr/>
      <w:r>
        <w:rPr>
          <w:rFonts w:ascii="Helvetica Light" w:hAnsi="Helvetica Light" w:cs="Helvetica Light"/>
          <w:sz w:val="24"/>
          <w:sz-cs w:val="24"/>
        </w:rPr>
        <w:t xml:space="preserve">Europe Bio-LNG Blend Mandates | +0.2% | Europe core, limited North America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characterized by moderate fragmentation. Prominent original equipment manufacturers (OEMs), including Volvo, Paccar, and Sinotruk, collectively accounted for a significant share of shipments. These companies have focused their strategies on reengineering existing diesel chassis to optimize manufacturing cost efficiencies. This approach allows them to leverage established production processes while adapting to the growing demand for LNG-powered vehicles. Additionally, fuel-system providers such as Westport Fuel Systems, Hexagon Agility, and Chart Industries have achieved notable differentiation in the market by offering advanced cryogenic tank, pump, and injector technologies, which contribute to enhanced vehicle performance and operational efficiency.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integration is increasingly shaping the competitive landscape of the market. Companies such as Shell and Clean Energy Fuels have been actively expanding their network of fueling stations while securing upstream gas supplies. This strategy ensures price stability, which in turn supports the adoption and sales of LNG-powered vehicles. Furthermore, Daimler has entered into a partnership with Linde to develop liquid-hydrogen supply solutions, positioning itself to address potential shifts in the market toward alternative fuel technologies. Collaborative efforts in intellectual property, such as the HPDI venture between Volvo and Westport, are playing a critical role in accelerating development cycles and mitigating associated risks.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within the market is increasingly centered on lifecycle greenhouse gas (GHG) performance and total cost of ownership (TCO) rather than the initial purchase price of vehicles. OEMs are placing significant emphasis on the compatibility of their vehicles with bio-LNG and the reduction of methane slip, which are key factors in improving environmental performance. At the same time, suppliers are focusing on advancements in boil-off suppression technologies and extending vehicle range, which enhance the overall value proposition for end-users. The barriers to entry in this market remain moderate. While the development of truck platforms requires substantial capital investment, component supply chains are relatively accessible, and regulatory homologation processes are well-established in major markets.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LNG Vehicle Industry Leaders* FAW TRUCKS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Sinotruk (CNHTC)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Volvo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TRATON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Paccar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LNG Vehicle Market Report ScopeThe scope of the report includes vehicle type, application, tank capacity, drive system, and geography. By vehicle type, the market is segmented into medium-duty trucks, heavy-duty trucks, and buses. By application, the market is segmented into freight transport, public transport, personal vehicles, and other applications. By tank capacity, the market is segmented into below 300 kg, 300–500 kg, and above 500 kg. By drive system, the market is segmented into conventional engine and hybrid engine. By geography, the market is segmented into North America, South America, Europe, Asia-Pacific, and the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Vehicle TypeMedium-duty Trucks | </w:t>
      </w:r>
    </w:p>
    <w:p>
      <w:pPr/>
      <w:r>
        <w:rPr>
          <w:rFonts w:ascii="Helvetica Light" w:hAnsi="Helvetica Light" w:cs="Helvetica Light"/>
          <w:sz w:val="24"/>
          <w:sz-cs w:val="24"/>
        </w:rPr>
        <w:t xml:space="preserve">Heavy-duty Trucks | </w:t>
      </w:r>
    </w:p>
    <w:p>
      <w:pPr/>
      <w:r>
        <w:rPr>
          <w:rFonts w:ascii="Helvetica Light" w:hAnsi="Helvetica Light" w:cs="Helvetica Light"/>
          <w:sz w:val="24"/>
          <w:sz-cs w:val="24"/>
        </w:rPr>
        <w:t xml:space="preserve">Buses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LNG vehicle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expected to reach USD 39.47 billion by 2031 based on the current 3.21% CAGR forecast.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current LNG vehicle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holds 48.49% of 2025 global revenue and maintains the fastest 7.42%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class is growing fastest within this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Medium-duty trucks are expanding at a 6.89% CAGR as fleets deploy LNG beyond traditional long-haul roles.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mitigates range anxiety for LNG trucks?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Dual 1,500-liter cryogenic cylinders enable about 3,500 km per fill, matching diesel range for inter-city freight.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factor most restrains future LNG truck growth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Rapid cost declines and policy support for zero-emission battery-electric trucks are expected to erode LNG's competitiveness over the medium term.</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