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Malaysia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[https://www.mordorintelligence.com/industry-reports/malaysian-retail-industry](https://www.mordorintelligence.com/industry-reports/malaysian-retail-industry)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132.28 billion |</w:t>
      </w:r>
    </w:p>
    <w:p>
      <w:pPr/>
      <w:r>
        <w:rPr>
          <w:rFonts w:ascii="Helvetica Light" w:hAnsi="Helvetica Light" w:cs="Helvetica Light"/>
          <w:sz w:val="24"/>
          <w:sz-cs w:val="24"/>
        </w:rPr>
        <w:t xml:space="preserve">| **Projected Forecast (2031)** | USD 132.28 billion |</w:t>
      </w:r>
    </w:p>
    <w:p>
      <w:pPr/>
      <w:r>
        <w:rPr>
          <w:rFonts w:ascii="Helvetica Light" w:hAnsi="Helvetica Light" w:cs="Helvetica Light"/>
          <w:sz w:val="24"/>
          <w:sz-cs w:val="24"/>
        </w:rPr>
        <w:t xml:space="preserve">| **Growth Rate (CAGR)** | 3.87 %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Malaysia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![Malaysia Retail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![Malaysia Retail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![Malaysia Retail Market: Market Share by Format](images/chart_5.png)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![Malaysia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Historical Data Period | 2020 - 2024 | </w:t>
      </w:r>
    </w:p>
    <w:p>
      <w:pPr/>
      <w:r>
        <w:rPr>
          <w:rFonts w:ascii="Helvetica Light" w:hAnsi="Helvetica Light" w:cs="Helvetica Light"/>
          <w:sz w:val="24"/>
          <w:sz-cs w:val="24"/>
        </w:rPr>
        <w:t xml:space="preserve">Market Size (2026) | USD 132.28 Billion | </w:t>
      </w:r>
    </w:p>
    <w:p>
      <w:pPr/>
      <w:r>
        <w:rPr>
          <w:rFonts w:ascii="Helvetica Light" w:hAnsi="Helvetica Light" w:cs="Helvetica Light"/>
          <w:sz w:val="24"/>
          <w:sz-cs w:val="24"/>
        </w:rPr>
        <w:t xml:space="preserve">Market Size (2031) | USD 159.96 Billion | </w:t>
      </w:r>
    </w:p>
    <w:p>
      <w:pPr/>
      <w:r>
        <w:rPr>
          <w:rFonts w:ascii="Helvetica Light" w:hAnsi="Helvetica Light" w:cs="Helvetica Light"/>
          <w:sz w:val="24"/>
          <w:sz-cs w:val="24"/>
        </w:rPr>
        <w:t xml:space="preserve">Growth Rate (2026 - 2031) | 3.87 %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Malaysia Retail Market Analysis by Mordor IntelligenceThe Malaysia retail market size is USD 132.28 billion in 2026 and is projected to reach USD 159.96 billion by 2031 at a 3.87% CAGR. Growth reflects an active transition toward digital commerce, proximity-led formats, and policy shifts that change how consumers and retailers interact. Consumers continue to rebalance budgets toward essentials, guided by cost-of-living pressures and persistent price sensitivity across categories. Consumer inflation moderated to 1.83% in 2024, down from 2.49% in 2023, but essentials such as food, housing, utilities, and transport still account for over 23% of the Consumer Price Index (CPI) basket, keeping value-seeking behavior elevated. These dynamics have driven retailers to expand private labels, entry-price packs, and promotional intensity, particularly in grocery, personal care, and household segments. Policy adjustments around indirect taxes shape pricing and operating costs, which prompts retailers to expand value ranges and efficiency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food, beverage, and tobacco led with 57.39% of the Malaysia retail market share in 2025; electronic and household appliances are projected to expand at a 4.65% CAGR through 2031.</w:t>
      </w:r>
    </w:p>
    <w:p>
      <w:pPr/>
      <w:r>
        <w:rPr>
          <w:rFonts w:ascii="Helvetica Light" w:hAnsi="Helvetica Light" w:cs="Helvetica Light"/>
          <w:sz w:val="24"/>
          <w:sz-cs w:val="24"/>
        </w:rPr>
        <w:t xml:space="preserve">* By retail channel, traditional mom-and-pop stores held 48.37% of the Malaysia retail market in 2025; e-commerce and others recorded the highest projected CAGR at 5.01% through 2031.</w:t>
      </w:r>
    </w:p>
    <w:p>
      <w:pPr/>
      <w:r>
        <w:rPr>
          <w:rFonts w:ascii="Helvetica Light" w:hAnsi="Helvetica Light" w:cs="Helvetica Light"/>
          <w:sz w:val="24"/>
          <w:sz-cs w:val="24"/>
        </w:rPr>
        <w:t xml:space="preserve">* By format, convenience stores commanded 51.82% of the Malaysian retail market share in 2025 and are advancing at a 5.11%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Malaysia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disposable incomes &amp; middle-class expansion | +1.0% | National, strongest in Klang Valley, Penang, Johor, and fast-growing secondary cities | Medium to Long term (3–5 years) | </w:t>
      </w:r>
    </w:p>
    <w:p>
      <w:pPr/>
      <w:r>
        <w:rPr>
          <w:rFonts w:ascii="Helvetica Light" w:hAnsi="Helvetica Light" w:cs="Helvetica Light"/>
          <w:sz w:val="24"/>
          <w:sz-cs w:val="24"/>
        </w:rPr>
        <w:t xml:space="preserve">Government incentives are accelerating e-wallet adoption | +0.8% | National, with stronger urban penetration and gradual rural catch-up | Medium term (2-4 years) | </w:t>
      </w:r>
    </w:p>
    <w:p>
      <w:pPr/>
      <w:r>
        <w:rPr>
          <w:rFonts w:ascii="Helvetica Light" w:hAnsi="Helvetica Light" w:cs="Helvetica Light"/>
          <w:sz w:val="24"/>
          <w:sz-cs w:val="24"/>
        </w:rPr>
        <w:t xml:space="preserve">Rapid urbanisation is fuelling mini-mart penetration | +0.7% | Asia-Pacific core, with momentum in Northern Peninsular and East Malaysia | Long term (≥ 4 years) | </w:t>
      </w:r>
    </w:p>
    <w:p>
      <w:pPr/>
      <w:r>
        <w:rPr>
          <w:rFonts w:ascii="Helvetica Light" w:hAnsi="Helvetica Light" w:cs="Helvetica Light"/>
          <w:sz w:val="24"/>
          <w:sz-cs w:val="24"/>
        </w:rPr>
        <w:t xml:space="preserve">EPF Account 3 withdrawals boosting near-term spending | +0.5% | National, with early gains in Klang Valley, Johor Bahru, Penang | Short term (≤ 2 years) | </w:t>
      </w:r>
    </w:p>
    <w:p>
      <w:pPr/>
      <w:r>
        <w:rPr>
          <w:rFonts w:ascii="Helvetica Light" w:hAnsi="Helvetica Light" w:cs="Helvetica Light"/>
          <w:sz w:val="24"/>
          <w:sz-cs w:val="24"/>
        </w:rPr>
        <w:t xml:space="preserve">E-commerce &amp; omnichannel retail boom | +0.9% | National, concentrated in larger urban markets | Medium term (2-4 years) | </w:t>
      </w:r>
    </w:p>
    <w:p>
      <w:pPr/>
      <w:r>
        <w:rPr>
          <w:rFonts w:ascii="Helvetica Light" w:hAnsi="Helvetica Light" w:cs="Helvetica Light"/>
          <w:sz w:val="24"/>
          <w:sz-cs w:val="24"/>
        </w:rPr>
        <w:t xml:space="preserve">99 Speed Mart-led logistics efficiencies are lowering shelf prices | +0.6% | Nationwide dense store network, particularly in suburban and semi-urban Malaysia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Malaysia retail market remains moderately fragmented at the national level, while scale at the banner level matters for cost control, sourcing, and service quality. Essentials-focused mini-markets grow on the back of logistics density and procurement leverage, which protect price positions. Hypermarket and supermarket banners maintain one-stop missions and integrate same-day delivery to defend convenience. Specialty retailers lean on category authority, private label, and store experiences to support traffic and margin. E-commerce platforms raise service benchmarks and influence price perception, which compels store-led retailers to refine their own digital journeys.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Capabilities that separate leaders include integrated supply chains, the use of data to manage assortments, and new fulfillment models that speed delivery. Self-checkout deployments and app-linked loyalty programs reduce queues and personalize value across owned channels. Store refreshes and remodels support discovery and lift dwell time, which helps experiential categories and food traffic. Company disclosures show investments in automation and new warehouses to strengthen supply chain resilience and reduce handling costs. These moves fit a broader pattern where operational discipline funds sharper pricing and customer-service enhancements. The Malaysia retail market rewards banners that combine value pricing with reliable service and consistent availability.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since 2025 highlight the focus on scale, logistics, and digital enablement. 99 Speed Mart reports a dense DC network, regular fleet upgrades, and continued outlet additions to extend reach and improve replenishment speed. MR D.I.Y. delivered record quarterly profit on the back of store openings and margin gains tied to procurement, while preparing an automated warehouse for full operations. AEON rolled out hundreds of self-checkout units, sustained high occupancy in malls, and expanded omnichannel coverage to reduce friction across shopping missions. The Malaysia retail market continues to see alliances and product extensions that improve loyalty and create convenience across touchpoints.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Malaysia Retail Industry Leaders* 99 Speed Mart Retail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AEON Co. (M) Bhd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Tesco / Lotus’s Malaysia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GCH Retail (Giant)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Mydin Mohamed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Malaysia Retail Market Report ScopeThe retail market encompasses the sale of goods and services directly to end consumers through physical stores, online platforms, and other sales channels.The report on the Malaysian retail sector provides a comprehensive evaluation of the market, with an analysis of the segments in the market. Moreover, the report also provides the competitive profile of the key manufacturers, along with regional analysis.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Tobacco Products; Personal Care and Household Care; Apparel, Footwear, and Accessories; Furniture, Toys, and Hobby; Industrial and Automotive; Electronic and Household Appliances; Other Products), Retail Channel (Traditional Mom and Pop Retail; Modern Trade Retail; E-Commerce and Others), and Format (Hypermarkets; Supermarkets; Convenience Stores; Department Stores; Specialty Stores; Others including Drugstore, Cash &amp; Carry, Wholesaler).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 (Value)Food, Beverage, and Tobacco Products | </w:t>
      </w:r>
    </w:p>
    <w:p>
      <w:pPr/>
      <w:r>
        <w:rPr>
          <w:rFonts w:ascii="Helvetica Light" w:hAnsi="Helvetica Light" w:cs="Helvetica Light"/>
          <w:sz w:val="24"/>
          <w:sz-cs w:val="24"/>
        </w:rPr>
        <w:t xml:space="preserve">Personal Care and Household Care | </w:t>
      </w:r>
    </w:p>
    <w:p>
      <w:pPr/>
      <w:r>
        <w:rPr>
          <w:rFonts w:ascii="Helvetica Light" w:hAnsi="Helvetica Light" w:cs="Helvetica Light"/>
          <w:sz w:val="24"/>
          <w:sz-cs w:val="24"/>
        </w:rPr>
        <w:t xml:space="preserve">Apparel, Footwear, and Accessories | </w:t>
      </w:r>
    </w:p>
    <w:p>
      <w:pPr/>
      <w:r>
        <w:rPr>
          <w:rFonts w:ascii="Helvetica Light" w:hAnsi="Helvetica Light" w:cs="Helvetica Light"/>
          <w:sz w:val="24"/>
          <w:sz-cs w:val="24"/>
        </w:rPr>
        <w:t xml:space="preserve">Furniture, Toys, and Hobby | </w:t>
      </w:r>
    </w:p>
    <w:p>
      <w:pPr/>
      <w:r>
        <w:rPr>
          <w:rFonts w:ascii="Helvetica Light" w:hAnsi="Helvetica Light" w:cs="Helvetica Light"/>
          <w:sz w:val="24"/>
          <w:sz-cs w:val="24"/>
        </w:rPr>
        <w:t xml:space="preserve">Industrial and Automotive | </w:t>
      </w:r>
    </w:p>
    <w:p>
      <w:pPr/>
      <w:r>
        <w:rPr>
          <w:rFonts w:ascii="Helvetica Light" w:hAnsi="Helvetica Light" w:cs="Helvetica Light"/>
          <w:sz w:val="24"/>
          <w:sz-cs w:val="24"/>
        </w:rPr>
        <w:t xml:space="preserve">Electronic and Household Appliances | </w:t>
      </w:r>
    </w:p>
    <w:p>
      <w:pPr/>
      <w:r>
        <w:rPr>
          <w:rFonts w:ascii="Helvetica Light" w:hAnsi="Helvetica Light" w:cs="Helvetica Light"/>
          <w:sz w:val="24"/>
          <w:sz-cs w:val="24"/>
        </w:rPr>
        <w:t xml:space="preserve">Other Products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RegionPeninsular Malaysia | Northern Region | </w:t>
      </w:r>
    </w:p>
    <w:p>
      <w:pPr/>
      <w:r>
        <w:rPr>
          <w:rFonts w:ascii="Helvetica Light" w:hAnsi="Helvetica Light" w:cs="Helvetica Light"/>
          <w:sz w:val="24"/>
          <w:sz-cs w:val="24"/>
        </w:rPr>
        <w:t xml:space="preserve"> | Central Region | </w:t>
      </w:r>
    </w:p>
    <w:p>
      <w:pPr/>
      <w:r>
        <w:rPr>
          <w:rFonts w:ascii="Helvetica Light" w:hAnsi="Helvetica Light" w:cs="Helvetica Light"/>
          <w:sz w:val="24"/>
          <w:sz-cs w:val="24"/>
        </w:rPr>
        <w:t xml:space="preserve"> | Southern Region | </w:t>
      </w:r>
    </w:p>
    <w:p>
      <w:pPr/>
      <w:r>
        <w:rPr>
          <w:rFonts w:ascii="Helvetica Light" w:hAnsi="Helvetica Light" w:cs="Helvetica Light"/>
          <w:sz w:val="24"/>
          <w:sz-cs w:val="24"/>
        </w:rPr>
        <w:t xml:space="preserve"> | East Coast Region | </w:t>
      </w:r>
    </w:p>
    <w:p>
      <w:pPr/>
      <w:r>
        <w:rPr>
          <w:rFonts w:ascii="Helvetica Light" w:hAnsi="Helvetica Light" w:cs="Helvetica Light"/>
          <w:sz w:val="24"/>
          <w:sz-cs w:val="24"/>
        </w:rPr>
        <w:t xml:space="preserve">East Malaysia | Sabah | </w:t>
      </w:r>
    </w:p>
    <w:p>
      <w:pPr/>
      <w:r>
        <w:rPr>
          <w:rFonts w:ascii="Helvetica Light" w:hAnsi="Helvetica Light" w:cs="Helvetica Light"/>
          <w:sz w:val="24"/>
          <w:sz-cs w:val="24"/>
        </w:rPr>
        <w:t xml:space="preserve"> | Sarawak | </w:t>
      </w:r>
    </w:p>
    <w:p>
      <w:pPr/>
      <w:r>
        <w:rPr>
          <w:rFonts w:ascii="Helvetica Light" w:hAnsi="Helvetica Light" w:cs="Helvetica Light"/>
          <w:sz w:val="24"/>
          <w:sz-cs w:val="24"/>
        </w:rPr>
        <w:t xml:space="preserve"> | Labuan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Malaysia retail market size and projected growth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Malaysia retail market size is USD 132.28 billion in 2026 and is projected to reach USD 159.96 billion by 2031 at a 3.87%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the Malaysia retail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Beverage, and Tobacco lead with a 57.39% share in 2025, reflecting the resilience of essential spending during cost-of-living pressure.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 is growing fastest in the Malaysia retail market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and others are the fastest-growing channels, projected to expand at a 5.01% CAGR through 2031 as mobile-first habits mature and service levels improve.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format holds the largest share in the Malaysia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stores hold the largest share at 51.82% in 2025 and are projected to grow at a 5.11% CAGR through 2031 due to proximity, availability, and logistics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macro factor most supports retail spending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Stable employment, targeted policy support, and ongoing digital payment adoption collectively support retail spending, with private consumption continuing as a large part of GDP.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retailers responding to competitive pressure from marketplaces?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banners invest in self-checkout, store refreshes, and last-mile options, while expanding omnichannel services and logistics automation to protect value and convenience.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