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Natural Language Processing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Artificial Intelligence &amp; ML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https://www.mordorintelligence.com/industry-reports/natural-language-processing-market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Natural Language Processing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47.37 Billion | </w:t>
      </w:r>
    </w:p>
    <w:p>
      <w:pPr/>
      <w:r>
        <w:rPr>
          <w:rFonts w:ascii="Helvetica" w:hAnsi="Helvetica" w:cs="Helvetica"/>
          <w:sz w:val="24"/>
          <w:sz-cs w:val="24"/>
          <w:spacing w:val="0"/>
          <w:color w:val="000000"/>
        </w:rPr>
        <w:t xml:space="preserve">Market Size (2031) | USD 117.57 Billion | </w:t>
      </w:r>
    </w:p>
    <w:p>
      <w:pPr/>
      <w:r>
        <w:rPr>
          <w:rFonts w:ascii="Helvetica" w:hAnsi="Helvetica" w:cs="Helvetica"/>
          <w:sz w:val="24"/>
          <w:sz-cs w:val="24"/>
          <w:spacing w:val="0"/>
          <w:color w:val="000000"/>
        </w:rPr>
        <w:t xml:space="preserve">Growth Rate (2026 - 2031) | 19.94 %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Natural Language Processing Market Analysis by Mordor IntelligenceThe natural language processing market size is projected to expand from USD 39.37 billion in 2025 and USD 47.37 billion in 2026 to USD 117.57 billion by 2031, registering a CAGR of 19.94% between 2026 to 2031. The surge is anchored in transformer refinements that lift domain-specific accuracy by double-digit points, cloudâ€“edge synergies that shrink inference latency below 100 milliseconds, and regulatory clarity that channels budget from proofs of concept into full production. Enterprise buyers now treat foundation models as core infrastructure rather than experimental add-ons, reallocating analytics budgets toward integration tooling, bias auditing, and carbon-neutral compute options. Vendor competition centers on lowering cost per token, pre-certifying high-risk modules for the EU AI Act, and winning low-resource language segments that remain underserved by English-centric systems. Capital flows mirror these priorities, with hyperscalers funneling GPU supply into managed platforms while automotive and healthcare leaders finance edge inference projects to secure deterministic latency.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cloud captured 64.31% of natural language processing market share in 2025, while services recorded the fastest projected CAGR at 22.62% through 2031. </w:t>
      </w:r>
    </w:p>
    <w:p>
      <w:pPr/>
      <w:r>
        <w:rPr>
          <w:rFonts w:ascii="Helvetica" w:hAnsi="Helvetica" w:cs="Helvetica"/>
          <w:sz w:val="24"/>
          <w:sz-cs w:val="24"/>
          <w:spacing w:val="0"/>
          <w:color w:val="000000"/>
        </w:rPr>
        <w:t xml:space="preserve">* By organization size, large enterprises held 73.13% of the natural language processing market in 2025, whereas small and medium enterprises are forecast to expand at a 19.98% CAGR to 2031. </w:t>
      </w:r>
    </w:p>
    <w:p>
      <w:pPr/>
      <w:r>
        <w:rPr>
          <w:rFonts w:ascii="Helvetica" w:hAnsi="Helvetica" w:cs="Helvetica"/>
          <w:sz w:val="24"/>
          <w:sz-cs w:val="24"/>
          <w:spacing w:val="0"/>
          <w:color w:val="000000"/>
        </w:rPr>
        <w:t xml:space="preserve">* By component, software commanded 46.14% share of the natural language processing market size in 2025, but services are advancing at a 22.62% CAGR through 2031. </w:t>
      </w:r>
    </w:p>
    <w:p>
      <w:pPr/>
      <w:r>
        <w:rPr>
          <w:rFonts w:ascii="Helvetica" w:hAnsi="Helvetica" w:cs="Helvetica"/>
          <w:sz w:val="24"/>
          <w:sz-cs w:val="24"/>
          <w:spacing w:val="0"/>
          <w:color w:val="000000"/>
        </w:rPr>
        <w:t xml:space="preserve">* By processing type, text processing led with 49.18% share in 2025 and speech recognition is projected to post a 22.41% CAGR between 2026-2031. </w:t>
      </w:r>
    </w:p>
    <w:p>
      <w:pPr/>
      <w:r>
        <w:rPr>
          <w:rFonts w:ascii="Helvetica" w:hAnsi="Helvetica" w:cs="Helvetica"/>
          <w:sz w:val="24"/>
          <w:sz-cs w:val="24"/>
          <w:spacing w:val="0"/>
          <w:color w:val="000000"/>
        </w:rPr>
        <w:t xml:space="preserve">* By end-user industry, BFSI accounted for 20.13% share of the natural language processing market size in 2025, while healthcare and life sciences show the highest growth trajectory at 24.84% CAGR through 2031. </w:t>
      </w:r>
    </w:p>
    <w:p>
      <w:pPr/>
      <w:r>
        <w:rPr>
          <w:rFonts w:ascii="Helvetica" w:hAnsi="Helvetica" w:cs="Helvetica"/>
          <w:sz w:val="24"/>
          <w:sz-cs w:val="24"/>
          <w:spacing w:val="0"/>
          <w:color w:val="000000"/>
        </w:rPr>
        <w:t xml:space="preserve">* By geography, North America retained 37.92% share in 2025 and Asia-Pacific is positioned for the quickest climb at 22.13% CAGR to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Natural Language Processing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Generative-AI-Powered Model Accuracy Gains | +4.5% | Global, concentrated in North America and Asia-Pacific | Medium term (2-4 years) | </w:t>
      </w:r>
    </w:p>
    <w:p>
      <w:pPr/>
      <w:r>
        <w:rPr>
          <w:rFonts w:ascii="Helvetica" w:hAnsi="Helvetica" w:cs="Helvetica"/>
          <w:sz w:val="24"/>
          <w:sz-cs w:val="24"/>
          <w:spacing w:val="0"/>
          <w:color w:val="000000"/>
        </w:rPr>
        <w:t xml:space="preserve">Surge in Conversational AI Adoption in Customer Support | +3.8% | Global, led by North America and Europe, expanding into Asia-Pacific | Short term (â‰¤ 2 years) | </w:t>
      </w:r>
    </w:p>
    <w:p>
      <w:pPr/>
      <w:r>
        <w:rPr>
          <w:rFonts w:ascii="Helvetica" w:hAnsi="Helvetica" w:cs="Helvetica"/>
          <w:sz w:val="24"/>
          <w:sz-cs w:val="24"/>
          <w:spacing w:val="0"/>
          <w:color w:val="000000"/>
        </w:rPr>
        <w:t xml:space="preserve">Integration of NLP in Embedded or Edge Devices | +3.2% | Asia-Pacific core, spillover to North America and Europe | Medium term (2-4 years) | </w:t>
      </w:r>
    </w:p>
    <w:p>
      <w:pPr/>
      <w:r>
        <w:rPr>
          <w:rFonts w:ascii="Helvetica" w:hAnsi="Helvetica" w:cs="Helvetica"/>
          <w:sz w:val="24"/>
          <w:sz-cs w:val="24"/>
          <w:spacing w:val="0"/>
          <w:color w:val="000000"/>
        </w:rPr>
        <w:t xml:space="preserve">Proliferation of Domain-Specific LLMs for Regulated Industries | +2.9% | North America and Europe, gradual adoption in Asia-Pacific | Long term (â‰¥ 4 years) | </w:t>
      </w:r>
    </w:p>
    <w:p>
      <w:pPr/>
      <w:r>
        <w:rPr>
          <w:rFonts w:ascii="Helvetica" w:hAnsi="Helvetica" w:cs="Helvetica"/>
          <w:sz w:val="24"/>
          <w:sz-cs w:val="24"/>
          <w:spacing w:val="0"/>
          <w:color w:val="000000"/>
        </w:rPr>
        <w:t xml:space="preserve">Rising Demand for Real-Time Speech Recognition in Automotive and Smart Devices | +2.4% | Global, early leadership in North America, Europe and China | Medium term (2-4 years) | </w:t>
      </w:r>
    </w:p>
    <w:p>
      <w:pPr/>
      <w:r>
        <w:rPr>
          <w:rFonts w:ascii="Helvetica" w:hAnsi="Helvetica" w:cs="Helvetica"/>
          <w:sz w:val="24"/>
          <w:sz-cs w:val="24"/>
          <w:spacing w:val="0"/>
          <w:color w:val="000000"/>
        </w:rPr>
        <w:t xml:space="preserve">Multimodal Foundation Models Unlocking New Verticals | +2.1% | Global, concentrated in North America and Asia-Pacific technology hubs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Generative-AI-Powered Model Accuracy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Foundation releases in 2025 posted 18-23 percentage-point jumps on specialist benchmarks when fine-tuned on fewer than 10,000 labels, slashing annotation budgets and opening high-liability workflows such as legal clause extraction and ICD-10 coding.[1]Nature Staff, â€œLarge Language Models Encode Clinical Knowledge,â€ Nature, nature.com Googleâ€™s Gemini 2.0 Flash trimmed inference latency by 40%, enabling conversational and summarization tasks that once demanded batch processing. Mixture-of-experts routing keeps only 10-15% of a trillion parameters active per query, lowering energy draw without hurting precision. OpenAIâ€™s o3 model logged 87.5% on ARC-AGI, signaling that multi-step reasoning is entering automated scope. Together these advances fueled board-level confidence that the natural language processing market can underpin mission-critical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Conversational AI Adoption in Customer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Twelve-to-eighteen-percent wage inflation for tier-1 agents pushed contact centers toward automation, and retrieval-augmented generation raised first-contact resolution to 75-85% by mid-2025.[2]Salesforce Press Team, â€œAgentforce 2.0: Autonomous Agents for Every Business,â€ salesforce.comSalesforceâ€™s Agentforce 2.0 orchestrates CRM, billing, and inventory flows without hand-offs, cutting average handle time by up to 40%. Cloud platforms bundled chat APIs into existing enterprise agreements, shrinking pilot cycles from quarters to weeks. The EU AI Act tagged most customer-service bots as limited-risk, sparing them conformity reviews and accelerating adoption across the trading bloc.[3]European Commission, â€œRegulatory Framework on Artificial Intelligence,â€ digital-strategy.ec.europa.eu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of NLP in Embedded or Edge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Smartphone chipsets embedding neural units now run 7-billion-parameter models locally, erasing the 200-500 milliseconds of round-trip latency tied to cloud calls and calming privacy fears. Appleâ€™s Intelligence handles 80% of Siri requests on-device, a shift that aligns with tight data-localization rules in China and India. Mercedes-Benz integrated a 95%-accurate domain model into its MBUX cockpit, showing that edge inference can satisfy real-time automotive needs without connectivity. The natural language processing market consequently tilts toward on-device toolkits that guarantee deterministic response times and compliance with residency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Proliferation of Domain-Specific LLMs for Regulated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Vertical models fine-tuned on curated corpora outperformed generic peers by 12-18 points, justifying 3-5Ã— higher training spend in sectors where misclassification invites fines. Nuanceâ€™s DAX Copilot processed over 1 million clinical visits, trimming documentation chores by half and easing burnout. Banks adopted filings-trained models to slash false positives in anti-money-laundering from 95% to below 70%. The EU AI Act demands explainability for credit scoring, nudging vendors toward transparent architectures and certified toolchains.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Shortage of High-Quality, Bias-Free Training Data | -1.8% | Global, acute in non-English and low-resource languages | Short term (â‰¤ 2 years) | </w:t>
      </w:r>
    </w:p>
    <w:p>
      <w:pPr/>
      <w:r>
        <w:rPr>
          <w:rFonts w:ascii="Helvetica" w:hAnsi="Helvetica" w:cs="Helvetica"/>
          <w:sz w:val="24"/>
          <w:sz-cs w:val="24"/>
          <w:spacing w:val="0"/>
          <w:color w:val="000000"/>
        </w:rPr>
        <w:t xml:space="preserve">Escalating Inference Costs for Large Models | -1.5% | Global, most pronounced in North America and Europe | Medium term (2-4 years) | </w:t>
      </w:r>
    </w:p>
    <w:p>
      <w:pPr/>
      <w:r>
        <w:rPr>
          <w:rFonts w:ascii="Helvetica" w:hAnsi="Helvetica" w:cs="Helvetica"/>
          <w:sz w:val="24"/>
          <w:sz-cs w:val="24"/>
          <w:spacing w:val="0"/>
          <w:color w:val="000000"/>
        </w:rPr>
        <w:t xml:space="preserve">Cross-Border Data Residency Compliance Barriers | -1.2% | Global, concentrated in Europe, China and India | Long term (â‰¥ 4 years) | </w:t>
      </w:r>
    </w:p>
    <w:p>
      <w:pPr/>
      <w:r>
        <w:rPr>
          <w:rFonts w:ascii="Helvetica" w:hAnsi="Helvetica" w:cs="Helvetica"/>
          <w:sz w:val="24"/>
          <w:sz-cs w:val="24"/>
          <w:spacing w:val="0"/>
          <w:color w:val="000000"/>
        </w:rPr>
        <w:t xml:space="preserve">Environmental Footprint of Large-Scale Training Compute | -0.9% | Global, regulatory pressure strongest in Europe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Shortage of High-Quality, Bias-Free Training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Audits showed 70-80% of corpora remain English, leading to 15-25-point drops in other languages and exposing enterprises to compliance risk in multilingual regions. Synthetic generators fill gaps yet risk mode collapse after repeated fine-tunes. Health records are siloed behind HIPAA, while PCI-DSS locks down transaction logs, fragmenting training pools. Without standardized bias tests, firms invent bespoke audits that slow procurement. The restraint weighs heavily on national markets seeking sovereign AI autonomy.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Inference Costs for Large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Serving 100-billion-parameter systems at sub-second latency takes 8-16 GPUs per instance, driving compute bills up to USD 100,000 per month for 1 million daily users. Quantization and pruning halve parameters but trim accuracy by several points, a hit many risk managers reject. Toolchains such as NVIDIA TensorRT-LLM triple throughput, yet steep learning curves delay deployment. Tiered cloud pricing adds volatility when traffic spikes. The cost headwind forces product teams to weigh quality against margin, restraining the natural language processing market in price-sensitive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Deployment: Cloud Dominance Masks Edge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retained 64.31% share of the natural language processing market in 2025 as enterprises favored elastic scaling and bundled AI services. Through 2031 the segment grows at 20.01% as hyperscalers lock in workloads by embedding proprietary models into broader contracts. On-premise clusters persist inside banks and hospitals that must audit every data flow, even when this choice raises cost by up to 50%. AWS Bedrock and Azure confidential enclaves now blur the line, letting clients keep sensitive payloads inside virtual private clouds while still relying on managed orchestration.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adoption surges as smartphone penetration tops 70% in Asia-Pacific and automakers demand deterministic voice control. Googleâ€™s AI Edge SDK compresses Gemini Nano to under 2 GB, proving high-grade NLP can live on mid-tier handsets. Mercedes-Benz and BMW show 20-point gains in voice intent accuracy after localizing inference. Processing data in the device satisfies Chinaâ€™s Personal Information Protection Law with no architecture changes, and similar dynamics play out under Indiaâ€™s Digital Personal Data Protection Act. The dual-track evolution means the natural language processing market now values cloud and edge parity rather than single-venue supremacy.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Organization Size: SMEs Close the 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enterprises held 73.13% of the natural language processing market share in 2025, leveraging petabytes of data and dedicated MLOps teams. Yet SMEs are projected to outpace at a 19.98% CAGR because no-code agents and pay-per-token models eliminate capital barriers. Hugging Face hubs and consumption-based cloud pricing push experimentation costs below USD 20,000, affordable even to seed-stage startups. Fast decision cycles let SMEs pilot voice commerce bots or contract analyzers in weeks, often beating slow-moving incumbents to niche opportunities.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Corporate titans keep an edge in multi-system integrations that tap ERP, CRM and supply chain feeds concurrently. They also shoulder heavier EU AI Act audits that can extend deployment by up to a year, an overhead the smallest firms avoid when their use cases fall under limited-risk classifications. Over the forecast horizon convergence is likely, with mature tooling erasing technical gaps and forcing both cohorts to differentiate on workflow intimacy rather than raw compute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 Services Surge as Integration Complexity Escalates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captured 46.14% of natural language processing market spending in 2025 through licensing of foundation models and fine-tune platforms. Yet services, forecast to grow 22.62% annually, become the fastest-rising line item as enterprises confront model drift, bias monitoring, and EU conformance audits. Accenture, Deloitte and PwC now package vendor selection, data-pipeline buildout, and 24-month MLOps support into fixed-fee bundles exceeding USD 5 million for Fortune-500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Hardware remains essential, with NVIDIA GPUs retaining over 80% of training chips shipped, but its share inches downward as custom ASICs from hyperscalers find traction in inference workloads. The natural language processing market size for services will likely eclipse hardware by 2028, marking a pivot from capex to opex as complexity supersedes raw silicon scarcity.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Processing Type: Speech Recognition Gains Traction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Text processing maintained 49.18% share in 2025 thanks to mature document mining and sentiment tools. Speech recognition, however, is on track for a 22.41% CAGR because real-time transcription unlocks ambient healthcare documentation and in-car voice assistants. Ambient intelligence in clinics removes 40-50% of paperwork minutes per visit, a relief amid physician shortages. Automotive OEMs deploy fully offline assistants, eradicating coverage black spots and privacy worries.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Multimodal models such as GPT-4V cross-link images with text, widening scope to retail product search, X-ray interpretation, and natural language generation. As vision modules mature, the natural language processing market evolves into a multimodal arena where keyboards compete with cameras and microphones for data input.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Healthcare Leads Adoption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and life sciences grow at 24.84% CAGR through 2031, propelled by ambient note-taking, coding automation, and drug-discovery literature mining. Nuanceâ€™s DAX Copilot handles over 1 million visits, granting providers capacity to see two extra patients daily without extending hours. Financial services, holding 20.13% share in 2025, focuses on fraud detection that cuts false positives by a quarter and speeds suspicious-transaction blocks to under two seconds.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channels exploit visual search that turns photos into product listings, lifting conversion by double digits in pilots. Manufacturing leverages log parsing for predictive maintenance, slicing unplanned downtime by up to 30%. Across sectors, success increasingly depends on workflow integration depth and bias governance rather than vanilla text analytics.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kept 37.92% share in 2025, anchored by hyperscaler infrastructure and risk-tolerant early adopters. Enterprises tap generous venture funding, and regulatory sandboxes let banks trial generative models under supervisory guidance. Yet saturation and rising compliance overhead temper growth to high teens.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records the fastest climb at 22.13% CAGR as Chinaâ€™s USD 50 billion sovereign-AI push, Indiaâ€™s public digital stack, and Japanâ€™s aging-population pressures converge. Chinese state-owned firms mandate domestic model deployment, boosting Baidu and Alibaba adoption. Indiaâ€™s Unified Payments Interface feeds billions of multilingual records into fraud and credit models. Japanese hospitals enjoy tax breaks when installing ambient documentation, spurring clinical NLP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benefits from the EU AI Actâ€™s clarity, though conformity reviews add 6-12 months to high-risk launches. Germanyâ€™s automakers embed local voice assistants to satisfy GDPR. The United Kingdom encourages KYC automation to trim compliance costs. South America adopts customer-service bots tuned to regional dialects, while the Middle East funds sovereign AI as economic-diversification pillars. Africaâ€™s uptake clusters in Nigeria and Kenya where mobile-first NLP supports fintech and ag-extension messaging. Despite disparate starting points, every region positions the natural language processing market as core digital infrastructure by decadeâ€™s 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regulatory environment for NLP is being shaped by horizontal AI governance regimes that apply to both general-purpose and high-risk language systems in regulated workflows. In the EU, the AI Act (Regulation (EU) 2024/1689) creates obligations that apply from August 2, 2026, with compliance expectations tied to documented technical information (Annex IV) and conformity pathways linked to harmonised standards (Article 40). The EU AI Office also runs an official beta Compliance Checker, which operators use to map requirements for customer-facing conversational AI as well as higher-risk applications such as credit and employment-related decision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federal policy continues to emphasize innovation through a comparatively less prescriptive approach, leaning on voluntary risk management practices such as the NIST AI Risk Management Framework. The December 2025 Executive Order 14365 frames AI governance around reducing barriers to commercialization, while a March 2026 White House National Policy Framework recommends Congressional action to preempt fragmented state AI laws and promote a uniform national standard, which affects multi-state deployment for cloud NLP APIs. In Japan, June 2026 government procurement and use guidelines for generative AI require Chief AI Officers (CAIOs) across ministries and agencies, making governance and risk controls a procurement prerequisite for NLP-enabled systems sold into public-sector programs.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Microsoft, Google, Amazon, OpenAI, and NVIDIA, the top five vendors, command about 60% of enterprise spending, indicating a moderate concentration in the natural language processing market. Hyperscalers leverage their distribution power through bundled credits and integrated MLOps. Meanwhile, open-source contenders like Metaâ€™s Llama 3 and Mistral are narrowing accuracy gaps. This shift compels established players to prioritize latency, compliance, and domain ecosystems over mere parameter counts. Notable strategic maneuvers include Googleâ€™s latency reductions with Gemini Flash, Microsoftâ€™s introduction of Azure AI Foundry for seamless model transitions, and NVIDIAâ€™s H200 GPU debut, which boasts a doubled inference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Startups are finding their footing in areas like retrieval-augmented generation, synthetic data, and on-device compression. Cohere is making strides in enterprise RAG, boasting impressively low hallucination rates. Hugging Face has transformed its platform, now home to 500,000 developers, into a formidable community asset, rivaling even proprietary catalogs. A 35% year-on-year surge in patent filings underscores the escalating intellectual property skirmishes, particularly in areas like few-shot learning and bias mitigation. Regulations are being wielded as strategic tools; vendors with pre-certified high-risk modules are reaping first-mover benefits in the EU, a trend likely to echo in other regions adopting similar regulatory frameworks.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Additionally, partnerships and collaborations are shaping the competitive landscape. For instance, OpenAIâ€™s collaboration with enterprise software providers is enabling tailored solutions for specific industries, while Amazon is integrating its NLP capabilities into AWS services to enhance accessibility for developers. These alliances are expected to drive innovation and expand the adoption of NLP technologies across diverse sectors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Natural Language Processing Industry Leaders*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SAS Institute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LLC (Alphabet)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NVIDIA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buyers are moving from single-model pilots toward governed agentic deployments that connect NLP to business systems. This shift creates whitespace for integration services, monitoring toolchains, and auditable RAG stacks that meet documentation and explainability demands in regulated use cases. It is also supported by platform-level moves such as Microsofts Azure AI Foundry, which is positioned for model switching without rewrites, and by vendor packaging of end-to-end agent frameworks in suites such as SAS Viya, where agentic assistants and accelerators are being introduced with governance in mind.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opportunity concentrates in speech and edge deployments where deterministic latency and data residency requirements are harder to satisfy with purely cloud workflows, which aligns with rising demand for real-time speech recognition in automotive and ambient clinical documentation. A second opportunity area is model efficiency as a primary purchase criterion, with vendors competing on cost per token, latency, and hardware-aware optimization rather than only benchmark performance. July 2026 releases illustrate this direction, with OpenAI introducing the GPT-5.6 family with tiered options focused on performance per dollar and token efficiency for enterprise tasks, Anthropic releasing Claude Sonnet 5 for autonomous agent workflows with tool use and coding improvements, and Thinking Machines Lab releasing the open-weights Inkling MoE model with a very long context window and explicit optimization for NVIDIA Blackwell systems. These updates broaden buyer choice across proprietary and open-weights approaches and lift demand for evaluation, routing, and deployment tooling that can operationalize multi-model portfolios under compliance and budget constraints.</w:t>
      </w:r>
    </w:p>
    <w:p>
      <w:pPr/>
      <w:r>
        <w:rPr>
          <w:rFonts w:ascii="Helvetica" w:hAnsi="Helvetica" w:cs="Helvetica"/>
          <w:sz w:val="24"/>
          <w:sz-cs w:val="24"/>
          <w:spacing w:val="0"/>
          <w:color w:val="000000"/>
        </w:rPr>
        <w:t xml:space="preserve">Recent Industry Developments* July 2026: OpenAI released the GPT-5.6 model family (Sol, Terra, and Luna tiers) to target better performance per dollar and improved token efficiency for coding and enterprise workloads. The tiered lineup supports procurement patterns where teams standardize on a platform while selecting different model tiers by task criticality and latency or cost constraints.</w:t>
      </w:r>
    </w:p>
    <w:p>
      <w:pPr/>
      <w:r>
        <w:rPr>
          <w:rFonts w:ascii="Helvetica" w:hAnsi="Helvetica" w:cs="Helvetica"/>
          <w:sz w:val="24"/>
          <w:sz-cs w:val="24"/>
          <w:spacing w:val="0"/>
          <w:color w:val="000000"/>
        </w:rPr>
        <w:t xml:space="preserve">* June 2026: Microsoft announced MAI-Transcribe-1.5, a multilingual speech-to-text model supporting 43 languages and positioned for production deployment, including integration across Copilot, Teams, GitHub, and Dynamics 365 Contact Center. The release strengthens end-to-end speech NLP stacks inside widely deployed enterprise applications, accelerating speech-enabled automation in customer support and knowledge-work flows.</w:t>
      </w:r>
    </w:p>
    <w:p>
      <w:pPr/>
      <w:r>
        <w:rPr>
          <w:rFonts w:ascii="Helvetica" w:hAnsi="Helvetica" w:cs="Helvetica"/>
          <w:sz w:val="24"/>
          <w:sz-cs w:val="24"/>
          <w:spacing w:val="0"/>
          <w:color w:val="000000"/>
        </w:rPr>
        <w:t xml:space="preserve">* February 2025: IBM expanded its Granite model family with new multimodal and reasoning-focused models built for enterprise use. This broadened the set of commercially supported foundation models available for NLP-heavy workloads, increasing competitive pressure on hyperscalers and giving buyers additional options for governed deployments.</w:t>
      </w:r>
    </w:p>
    <w:p>
      <w:pPr/>
      <w:r>
        <w:rPr>
          <w:rFonts w:ascii="Helvetica" w:hAnsi="Helvetica" w:cs="Helvetica"/>
          <w:sz w:val="24"/>
          <w:sz-cs w:val="24"/>
          <w:spacing w:val="0"/>
          <w:color w:val="000000"/>
        </w:rPr>
        <w:t xml:space="preserve">Table of Contents for Natural Language Processing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Generative-AI-Powered Model Accuracy Gains</w:t>
      </w:r>
    </w:p>
    <w:p>
      <w:pPr/>
      <w:r>
        <w:rPr>
          <w:rFonts w:ascii="Helvetica" w:hAnsi="Helvetica" w:cs="Helvetica"/>
          <w:sz w:val="24"/>
          <w:sz-cs w:val="24"/>
          <w:spacing w:val="0"/>
          <w:color w:val="000000"/>
        </w:rPr>
        <w:t xml:space="preserve">* 4.2.2 Surge in Conversational AI Adoption in Customer Support</w:t>
      </w:r>
    </w:p>
    <w:p>
      <w:pPr/>
      <w:r>
        <w:rPr>
          <w:rFonts w:ascii="Helvetica" w:hAnsi="Helvetica" w:cs="Helvetica"/>
          <w:sz w:val="24"/>
          <w:sz-cs w:val="24"/>
          <w:spacing w:val="0"/>
          <w:color w:val="000000"/>
        </w:rPr>
        <w:t xml:space="preserve">* 4.2.3 Integration of NLP in Embedded or Edge Devices</w:t>
      </w:r>
    </w:p>
    <w:p>
      <w:pPr/>
      <w:r>
        <w:rPr>
          <w:rFonts w:ascii="Helvetica" w:hAnsi="Helvetica" w:cs="Helvetica"/>
          <w:sz w:val="24"/>
          <w:sz-cs w:val="24"/>
          <w:spacing w:val="0"/>
          <w:color w:val="000000"/>
        </w:rPr>
        <w:t xml:space="preserve">* 4.2.4 Proliferation of Domain-Specific LLMs for Regulated Industries</w:t>
      </w:r>
    </w:p>
    <w:p>
      <w:pPr/>
      <w:r>
        <w:rPr>
          <w:rFonts w:ascii="Helvetica" w:hAnsi="Helvetica" w:cs="Helvetica"/>
          <w:sz w:val="24"/>
          <w:sz-cs w:val="24"/>
          <w:spacing w:val="0"/>
          <w:color w:val="000000"/>
        </w:rPr>
        <w:t xml:space="preserve">* 4.2.5 Rising Demand for Real-Time Speech Recognition in Automotive and Smart Devices</w:t>
      </w:r>
    </w:p>
    <w:p>
      <w:pPr/>
      <w:r>
        <w:rPr>
          <w:rFonts w:ascii="Helvetica" w:hAnsi="Helvetica" w:cs="Helvetica"/>
          <w:sz w:val="24"/>
          <w:sz-cs w:val="24"/>
          <w:spacing w:val="0"/>
          <w:color w:val="000000"/>
        </w:rPr>
        <w:t xml:space="preserve">* 4.2.6 Multimodal Foundation Models Unlocking New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Shortage of High-Quality, Bias-Free Training Data</w:t>
      </w:r>
    </w:p>
    <w:p>
      <w:pPr/>
      <w:r>
        <w:rPr>
          <w:rFonts w:ascii="Helvetica" w:hAnsi="Helvetica" w:cs="Helvetica"/>
          <w:sz w:val="24"/>
          <w:sz-cs w:val="24"/>
          <w:spacing w:val="0"/>
          <w:color w:val="000000"/>
        </w:rPr>
        <w:t xml:space="preserve">* 4.3.2 Escalating Inference Costs for Large Models</w:t>
      </w:r>
    </w:p>
    <w:p>
      <w:pPr/>
      <w:r>
        <w:rPr>
          <w:rFonts w:ascii="Helvetica" w:hAnsi="Helvetica" w:cs="Helvetica"/>
          <w:sz w:val="24"/>
          <w:sz-cs w:val="24"/>
          <w:spacing w:val="0"/>
          <w:color w:val="000000"/>
        </w:rPr>
        <w:t xml:space="preserve">* 4.3.3 Cross-Border Data Residency Compliance Barriers</w:t>
      </w:r>
    </w:p>
    <w:p>
      <w:pPr/>
      <w:r>
        <w:rPr>
          <w:rFonts w:ascii="Helvetica" w:hAnsi="Helvetica" w:cs="Helvetica"/>
          <w:sz w:val="24"/>
          <w:sz-cs w:val="24"/>
          <w:spacing w:val="0"/>
          <w:color w:val="000000"/>
        </w:rPr>
        <w:t xml:space="preserve">* 4.3.4 Environmental Footprint of Large-Scale Training Compute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Buyers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Deployment* 5.1.1 On-Premise</w:t>
      </w:r>
    </w:p>
    <w:p>
      <w:pPr/>
      <w:r>
        <w:rPr>
          <w:rFonts w:ascii="Helvetica" w:hAnsi="Helvetica" w:cs="Helvetica"/>
          <w:sz w:val="24"/>
          <w:sz-cs w:val="24"/>
          <w:spacing w:val="0"/>
          <w:color w:val="000000"/>
        </w:rPr>
        <w:t xml:space="preserve">* 5.1.2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Organization Size* 5.2.1 Large Enterprises</w:t>
      </w:r>
    </w:p>
    <w:p>
      <w:pPr/>
      <w:r>
        <w:rPr>
          <w:rFonts w:ascii="Helvetica" w:hAnsi="Helvetica" w:cs="Helvetica"/>
          <w:sz w:val="24"/>
          <w:sz-cs w:val="24"/>
          <w:spacing w:val="0"/>
          <w:color w:val="000000"/>
        </w:rPr>
        <w:t xml:space="preserve">* 5.2.2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Hardware</w:t>
      </w:r>
    </w:p>
    <w:p>
      <w:pPr/>
      <w:r>
        <w:rPr>
          <w:rFonts w:ascii="Helvetica" w:hAnsi="Helvetica" w:cs="Helvetica"/>
          <w:sz w:val="24"/>
          <w:sz-cs w:val="24"/>
          <w:spacing w:val="0"/>
          <w:color w:val="000000"/>
        </w:rPr>
        <w:t xml:space="preserve">* 5.3.2 Software</w:t>
      </w:r>
    </w:p>
    <w:p>
      <w:pPr/>
      <w:r>
        <w:rPr>
          <w:rFonts w:ascii="Helvetica" w:hAnsi="Helvetica" w:cs="Helvetica"/>
          <w:sz w:val="24"/>
          <w:sz-cs w:val="24"/>
          <w:spacing w:val="0"/>
          <w:color w:val="000000"/>
        </w:rPr>
        <w:t xml:space="preserve">* 5.3.3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Processing Type* 5.4.1 Text</w:t>
      </w:r>
    </w:p>
    <w:p>
      <w:pPr/>
      <w:r>
        <w:rPr>
          <w:rFonts w:ascii="Helvetica" w:hAnsi="Helvetica" w:cs="Helvetica"/>
          <w:sz w:val="24"/>
          <w:sz-cs w:val="24"/>
          <w:spacing w:val="0"/>
          <w:color w:val="000000"/>
        </w:rPr>
        <w:t xml:space="preserve">* 5.4.2 Speech or Voice</w:t>
      </w:r>
    </w:p>
    <w:p>
      <w:pPr/>
      <w:r>
        <w:rPr>
          <w:rFonts w:ascii="Helvetica" w:hAnsi="Helvetica" w:cs="Helvetica"/>
          <w:sz w:val="24"/>
          <w:sz-cs w:val="24"/>
          <w:spacing w:val="0"/>
          <w:color w:val="000000"/>
        </w:rPr>
        <w:t xml:space="preserve">* 5.4.3 Image or Vision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Industry* 5.5.1 BFSI</w:t>
      </w:r>
    </w:p>
    <w:p>
      <w:pPr/>
      <w:r>
        <w:rPr>
          <w:rFonts w:ascii="Helvetica" w:hAnsi="Helvetica" w:cs="Helvetica"/>
          <w:sz w:val="24"/>
          <w:sz-cs w:val="24"/>
          <w:spacing w:val="0"/>
          <w:color w:val="000000"/>
        </w:rPr>
        <w:t xml:space="preserve">* 5.5.2 Healthcare and Life Sciences</w:t>
      </w:r>
    </w:p>
    <w:p>
      <w:pPr/>
      <w:r>
        <w:rPr>
          <w:rFonts w:ascii="Helvetica" w:hAnsi="Helvetica" w:cs="Helvetica"/>
          <w:sz w:val="24"/>
          <w:sz-cs w:val="24"/>
          <w:spacing w:val="0"/>
          <w:color w:val="000000"/>
        </w:rPr>
        <w:t xml:space="preserve">* 5.5.3 IT and Telecom</w:t>
      </w:r>
    </w:p>
    <w:p>
      <w:pPr/>
      <w:r>
        <w:rPr>
          <w:rFonts w:ascii="Helvetica" w:hAnsi="Helvetica" w:cs="Helvetica"/>
          <w:sz w:val="24"/>
          <w:sz-cs w:val="24"/>
          <w:spacing w:val="0"/>
          <w:color w:val="000000"/>
        </w:rPr>
        <w:t xml:space="preserve">* 5.5.4 Retail and E-Commerce</w:t>
      </w:r>
    </w:p>
    <w:p>
      <w:pPr/>
      <w:r>
        <w:rPr>
          <w:rFonts w:ascii="Helvetica" w:hAnsi="Helvetica" w:cs="Helvetica"/>
          <w:sz w:val="24"/>
          <w:sz-cs w:val="24"/>
          <w:spacing w:val="0"/>
          <w:color w:val="000000"/>
        </w:rPr>
        <w:t xml:space="preserve">* 5.5.5 Manufacturing</w:t>
      </w:r>
    </w:p>
    <w:p>
      <w:pPr/>
      <w:r>
        <w:rPr>
          <w:rFonts w:ascii="Helvetica" w:hAnsi="Helvetica" w:cs="Helvetica"/>
          <w:sz w:val="24"/>
          <w:sz-cs w:val="24"/>
          <w:spacing w:val="0"/>
          <w:color w:val="000000"/>
        </w:rPr>
        <w:t xml:space="preserve">* 5.5.6 Media and Entertainment</w:t>
      </w:r>
    </w:p>
    <w:p>
      <w:pPr/>
      <w:r>
        <w:rPr>
          <w:rFonts w:ascii="Helvetica" w:hAnsi="Helvetica" w:cs="Helvetica"/>
          <w:sz w:val="24"/>
          <w:sz-cs w:val="24"/>
          <w:spacing w:val="0"/>
          <w:color w:val="000000"/>
        </w:rPr>
        <w:t xml:space="preserve">* 5.5.7 Education</w:t>
      </w:r>
    </w:p>
    <w:p>
      <w:pPr/>
      <w:r>
        <w:rPr>
          <w:rFonts w:ascii="Helvetica" w:hAnsi="Helvetica" w:cs="Helvetica"/>
          <w:sz w:val="24"/>
          <w:sz-cs w:val="24"/>
          <w:spacing w:val="0"/>
          <w:color w:val="000000"/>
        </w:rPr>
        <w:t xml:space="preserve">* 5.5.8 Others End-User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Rest of Europe</w:t>
      </w:r>
    </w:p>
    <w:p>
      <w:pPr/>
      <w:r>
        <w:rPr>
          <w:rFonts w:ascii="Helvetica" w:hAnsi="Helvetica" w:cs="Helvetica"/>
          <w:sz w:val="24"/>
          <w:sz-cs w:val="24"/>
          <w:spacing w:val="0"/>
          <w:color w:val="000000"/>
        </w:rPr>
        <w:t xml:space="preserve">* 5.6.4 Asia 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South Korea</w:t>
      </w:r>
    </w:p>
    <w:p>
      <w:pPr/>
      <w:r>
        <w:rPr>
          <w:rFonts w:ascii="Helvetica" w:hAnsi="Helvetica" w:cs="Helvetica"/>
          <w:sz w:val="24"/>
          <w:sz-cs w:val="24"/>
          <w:spacing w:val="0"/>
          <w:color w:val="000000"/>
        </w:rPr>
        <w:t xml:space="preserve">* 5.6.4.4 India</w:t>
      </w:r>
    </w:p>
    <w:p>
      <w:pPr/>
      <w:r>
        <w:rPr>
          <w:rFonts w:ascii="Helvetica" w:hAnsi="Helvetica" w:cs="Helvetica"/>
          <w:sz w:val="24"/>
          <w:sz-cs w:val="24"/>
          <w:spacing w:val="0"/>
          <w:color w:val="000000"/>
        </w:rPr>
        <w:t xml:space="preserve">* 5.6.4.5 Australia</w:t>
      </w:r>
    </w:p>
    <w:p>
      <w:pPr/>
      <w:r>
        <w:rPr>
          <w:rFonts w:ascii="Helvetica" w:hAnsi="Helvetica" w:cs="Helvetica"/>
          <w:sz w:val="24"/>
          <w:sz-cs w:val="24"/>
          <w:spacing w:val="0"/>
          <w:color w:val="000000"/>
        </w:rPr>
        <w:t xml:space="preserve">* 5.6.4.6 New Zealand</w:t>
      </w:r>
    </w:p>
    <w:p>
      <w:pPr/>
      <w:r>
        <w:rPr>
          <w:rFonts w:ascii="Helvetica" w:hAnsi="Helvetica" w:cs="Helvetica"/>
          <w:sz w:val="24"/>
          <w:sz-cs w:val="24"/>
          <w:spacing w:val="0"/>
          <w:color w:val="000000"/>
        </w:rPr>
        <w:t xml:space="preserve">* 5.6.4.7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United Arab Emirates</w:t>
      </w:r>
    </w:p>
    <w:p>
      <w:pPr/>
      <w:r>
        <w:rPr>
          <w:rFonts w:ascii="Helvetica" w:hAnsi="Helvetica" w:cs="Helvetica"/>
          <w:sz w:val="24"/>
          <w:sz-cs w:val="24"/>
          <w:spacing w:val="0"/>
          <w:color w:val="000000"/>
        </w:rPr>
        <w:t xml:space="preserve">* 5.6.5.1.2 Saudi Arabia</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5.6.5.1.4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Nigeria</w:t>
      </w:r>
    </w:p>
    <w:p>
      <w:pPr/>
      <w:r>
        <w:rPr>
          <w:rFonts w:ascii="Helvetica" w:hAnsi="Helvetica" w:cs="Helvetica"/>
          <w:sz w:val="24"/>
          <w:sz-cs w:val="24"/>
          <w:spacing w:val="0"/>
          <w:color w:val="000000"/>
        </w:rPr>
        <w:t xml:space="preserve">* 5.6.5.2.3 Kenya</w:t>
      </w:r>
    </w:p>
    <w:p>
      <w:pPr/>
      <w:r>
        <w:rPr>
          <w:rFonts w:ascii="Helvetica" w:hAnsi="Helvetica" w:cs="Helvetica"/>
          <w:sz w:val="24"/>
          <w:sz-cs w:val="24"/>
          <w:spacing w:val="0"/>
          <w:color w:val="000000"/>
        </w:rPr>
        <w:t xml:space="preserve">* 5.6.5.2.4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Microsoft Corp.</w:t>
      </w:r>
    </w:p>
    <w:p>
      <w:pPr/>
      <w:r>
        <w:rPr>
          <w:rFonts w:ascii="Helvetica" w:hAnsi="Helvetica" w:cs="Helvetica"/>
          <w:sz w:val="24"/>
          <w:sz-cs w:val="24"/>
          <w:spacing w:val="0"/>
          <w:color w:val="000000"/>
        </w:rPr>
        <w:t xml:space="preserve">* 6.4.2 Google LLC</w:t>
      </w:r>
    </w:p>
    <w:p>
      <w:pPr/>
      <w:r>
        <w:rPr>
          <w:rFonts w:ascii="Helvetica" w:hAnsi="Helvetica" w:cs="Helvetica"/>
          <w:sz w:val="24"/>
          <w:sz-cs w:val="24"/>
          <w:spacing w:val="0"/>
          <w:color w:val="000000"/>
        </w:rPr>
        <w:t xml:space="preserve">* 6.4.3 SAS Institute Inc.</w:t>
      </w:r>
    </w:p>
    <w:p>
      <w:pPr/>
      <w:r>
        <w:rPr>
          <w:rFonts w:ascii="Helvetica" w:hAnsi="Helvetica" w:cs="Helvetica"/>
          <w:sz w:val="24"/>
          <w:sz-cs w:val="24"/>
          <w:spacing w:val="0"/>
          <w:color w:val="000000"/>
        </w:rPr>
        <w:t xml:space="preserve">* 6.4.4 IBM Corp.</w:t>
      </w:r>
    </w:p>
    <w:p>
      <w:pPr/>
      <w:r>
        <w:rPr>
          <w:rFonts w:ascii="Helvetica" w:hAnsi="Helvetica" w:cs="Helvetica"/>
          <w:sz w:val="24"/>
          <w:sz-cs w:val="24"/>
          <w:spacing w:val="0"/>
          <w:color w:val="000000"/>
        </w:rPr>
        <w:t xml:space="preserve">* 6.4.5 NVIDIA Corp.</w:t>
      </w:r>
    </w:p>
    <w:p>
      <w:pPr/>
      <w:r>
        <w:rPr>
          <w:rFonts w:ascii="Helvetica" w:hAnsi="Helvetica" w:cs="Helvetica"/>
          <w:sz w:val="24"/>
          <w:sz-cs w:val="24"/>
          <w:spacing w:val="0"/>
          <w:color w:val="000000"/>
        </w:rPr>
        <w:t xml:space="preserve">* 6.4.6 OpenAI LP</w:t>
      </w:r>
    </w:p>
    <w:p>
      <w:pPr/>
      <w:r>
        <w:rPr>
          <w:rFonts w:ascii="Helvetica" w:hAnsi="Helvetica" w:cs="Helvetica"/>
          <w:sz w:val="24"/>
          <w:sz-cs w:val="24"/>
          <w:spacing w:val="0"/>
          <w:color w:val="000000"/>
        </w:rPr>
        <w:t xml:space="preserve">* 6.4.7 Meta Platforms Inc.</w:t>
      </w:r>
    </w:p>
    <w:p>
      <w:pPr/>
      <w:r>
        <w:rPr>
          <w:rFonts w:ascii="Helvetica" w:hAnsi="Helvetica" w:cs="Helvetica"/>
          <w:sz w:val="24"/>
          <w:sz-cs w:val="24"/>
          <w:spacing w:val="0"/>
          <w:color w:val="000000"/>
        </w:rPr>
        <w:t xml:space="preserve">* 6.4.8 SAP SE</w:t>
      </w:r>
    </w:p>
    <w:p>
      <w:pPr/>
      <w:r>
        <w:rPr>
          <w:rFonts w:ascii="Helvetica" w:hAnsi="Helvetica" w:cs="Helvetica"/>
          <w:sz w:val="24"/>
          <w:sz-cs w:val="24"/>
          <w:spacing w:val="0"/>
          <w:color w:val="000000"/>
        </w:rPr>
        <w:t xml:space="preserve">* 6.4.9 Oracle Corp.</w:t>
      </w:r>
    </w:p>
    <w:p>
      <w:pPr/>
      <w:r>
        <w:rPr>
          <w:rFonts w:ascii="Helvetica" w:hAnsi="Helvetica" w:cs="Helvetica"/>
          <w:sz w:val="24"/>
          <w:sz-cs w:val="24"/>
          <w:spacing w:val="0"/>
          <w:color w:val="000000"/>
        </w:rPr>
        <w:t xml:space="preserve">* 6.4.10 Baidu Inc.</w:t>
      </w:r>
    </w:p>
    <w:p>
      <w:pPr/>
      <w:r>
        <w:rPr>
          <w:rFonts w:ascii="Helvetica" w:hAnsi="Helvetica" w:cs="Helvetica"/>
          <w:sz w:val="24"/>
          <w:sz-cs w:val="24"/>
          <w:spacing w:val="0"/>
          <w:color w:val="000000"/>
        </w:rPr>
        <w:t xml:space="preserve">* 6.4.11 Intel Corp.</w:t>
      </w:r>
    </w:p>
    <w:p>
      <w:pPr/>
      <w:r>
        <w:rPr>
          <w:rFonts w:ascii="Helvetica" w:hAnsi="Helvetica" w:cs="Helvetica"/>
          <w:sz w:val="24"/>
          <w:sz-cs w:val="24"/>
          <w:spacing w:val="0"/>
          <w:color w:val="000000"/>
        </w:rPr>
        <w:t xml:space="preserve">* 6.4.12 Qualcomm Inc.</w:t>
      </w:r>
    </w:p>
    <w:p>
      <w:pPr/>
      <w:r>
        <w:rPr>
          <w:rFonts w:ascii="Helvetica" w:hAnsi="Helvetica" w:cs="Helvetica"/>
          <w:sz w:val="24"/>
          <w:sz-cs w:val="24"/>
          <w:spacing w:val="0"/>
          <w:color w:val="000000"/>
        </w:rPr>
        <w:t xml:space="preserve">* 6.4.13 Amazon Web Services</w:t>
      </w:r>
    </w:p>
    <w:p>
      <w:pPr/>
      <w:r>
        <w:rPr>
          <w:rFonts w:ascii="Helvetica" w:hAnsi="Helvetica" w:cs="Helvetica"/>
          <w:sz w:val="24"/>
          <w:sz-cs w:val="24"/>
          <w:spacing w:val="0"/>
          <w:color w:val="000000"/>
        </w:rPr>
        <w:t xml:space="preserve">* 6.4.14 Adobe Inc.</w:t>
      </w:r>
    </w:p>
    <w:p>
      <w:pPr/>
      <w:r>
        <w:rPr>
          <w:rFonts w:ascii="Helvetica" w:hAnsi="Helvetica" w:cs="Helvetica"/>
          <w:sz w:val="24"/>
          <w:sz-cs w:val="24"/>
          <w:spacing w:val="0"/>
          <w:color w:val="000000"/>
        </w:rPr>
        <w:t xml:space="preserve">* 6.4.15 Salesforce Inc.</w:t>
      </w:r>
    </w:p>
    <w:p>
      <w:pPr/>
      <w:r>
        <w:rPr>
          <w:rFonts w:ascii="Helvetica" w:hAnsi="Helvetica" w:cs="Helvetica"/>
          <w:sz w:val="24"/>
          <w:sz-cs w:val="24"/>
          <w:spacing w:val="0"/>
          <w:color w:val="000000"/>
        </w:rPr>
        <w:t xml:space="preserve">* 6.4.16 Apple Inc.</w:t>
      </w:r>
    </w:p>
    <w:p>
      <w:pPr/>
      <w:r>
        <w:rPr>
          <w:rFonts w:ascii="Helvetica" w:hAnsi="Helvetica" w:cs="Helvetica"/>
          <w:sz w:val="24"/>
          <w:sz-cs w:val="24"/>
          <w:spacing w:val="0"/>
          <w:color w:val="000000"/>
        </w:rPr>
        <w:t xml:space="preserve">* 6.4.17 Verint Systems Inc.</w:t>
      </w:r>
    </w:p>
    <w:p>
      <w:pPr/>
      <w:r>
        <w:rPr>
          <w:rFonts w:ascii="Helvetica" w:hAnsi="Helvetica" w:cs="Helvetica"/>
          <w:sz w:val="24"/>
          <w:sz-cs w:val="24"/>
          <w:spacing w:val="0"/>
          <w:color w:val="000000"/>
        </w:rPr>
        <w:t xml:space="preserve">* 6.4.18 Nuance Communications</w:t>
      </w:r>
    </w:p>
    <w:p>
      <w:pPr/>
      <w:r>
        <w:rPr>
          <w:rFonts w:ascii="Helvetica" w:hAnsi="Helvetica" w:cs="Helvetica"/>
          <w:sz w:val="24"/>
          <w:sz-cs w:val="24"/>
          <w:spacing w:val="0"/>
          <w:color w:val="000000"/>
        </w:rPr>
        <w:t xml:space="preserve">* 6.4.19 Cohere Inc.</w:t>
      </w:r>
    </w:p>
    <w:p>
      <w:pPr/>
      <w:r>
        <w:rPr>
          <w:rFonts w:ascii="Helvetica" w:hAnsi="Helvetica" w:cs="Helvetica"/>
          <w:sz w:val="24"/>
          <w:sz-cs w:val="24"/>
          <w:spacing w:val="0"/>
          <w:color w:val="000000"/>
        </w:rPr>
        <w:t xml:space="preserve">* 6.4.20 Hugging Face</w:t>
      </w:r>
    </w:p>
    <w:p>
      <w:pPr/>
      <w:r>
        <w:rPr>
          <w:rFonts w:ascii="Helvetica" w:hAnsi="Helvetica" w:cs="Helvetica"/>
          <w:sz w:val="24"/>
          <w:sz-cs w:val="24"/>
          <w:spacing w:val="0"/>
          <w:color w:val="000000"/>
        </w:rPr>
        <w:t xml:space="preserve">* 6.4.21 Grammarly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natural language processing market is defined as the revenue generated from NLP software, services, and related hardware that enable systems to understand, interpret, and generate human language in real-world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General-purpose compute and storage spending is excluded unless it is bought specifically to run NLP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On-Premise</w:t>
      </w:r>
    </w:p>
    <w:p>
      <w:pPr/>
      <w:r>
        <w:rPr>
          <w:rFonts w:ascii="Helvetica" w:hAnsi="Helvetica" w:cs="Helvetica"/>
          <w:sz w:val="24"/>
          <w:sz-cs w:val="24"/>
          <w:spacing w:val="0"/>
          <w:color w:val="000000"/>
        </w:rPr>
        <w:t xml:space="preserv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Organization Size* Large Enterprises</w:t>
      </w:r>
    </w:p>
    <w:p>
      <w:pPr/>
      <w:r>
        <w:rPr>
          <w:rFonts w:ascii="Helvetica" w:hAnsi="Helvetica" w:cs="Helvetica"/>
          <w:sz w:val="24"/>
          <w:sz-cs w:val="24"/>
          <w:spacing w:val="0"/>
          <w:color w:val="000000"/>
        </w:rPr>
        <w:t xml:space="preserve">* Small and Medium Enterprises (SMEs)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Hardware</w:t>
      </w:r>
    </w:p>
    <w:p>
      <w:pPr/>
      <w:r>
        <w:rPr>
          <w:rFonts w:ascii="Helvetica" w:hAnsi="Helvetica" w:cs="Helvetica"/>
          <w:sz w:val="24"/>
          <w:sz-cs w:val="24"/>
          <w:spacing w:val="0"/>
          <w:color w:val="000000"/>
        </w:rPr>
        <w:t xml:space="preserve">*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Processing Type* Text</w:t>
      </w:r>
    </w:p>
    <w:p>
      <w:pPr/>
      <w:r>
        <w:rPr>
          <w:rFonts w:ascii="Helvetica" w:hAnsi="Helvetica" w:cs="Helvetica"/>
          <w:sz w:val="24"/>
          <w:sz-cs w:val="24"/>
          <w:spacing w:val="0"/>
          <w:color w:val="000000"/>
        </w:rPr>
        <w:t xml:space="preserve">* Speech or Voice</w:t>
      </w:r>
    </w:p>
    <w:p>
      <w:pPr/>
      <w:r>
        <w:rPr>
          <w:rFonts w:ascii="Helvetica" w:hAnsi="Helvetica" w:cs="Helvetica"/>
          <w:sz w:val="24"/>
          <w:sz-cs w:val="24"/>
          <w:spacing w:val="0"/>
          <w:color w:val="000000"/>
        </w:rPr>
        <w:t xml:space="preserve">* Image or Vision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BFSI</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IT and Telecom</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Media and Entertainment</w:t>
      </w:r>
    </w:p>
    <w:p>
      <w:pPr/>
      <w:r>
        <w:rPr>
          <w:rFonts w:ascii="Helvetica" w:hAnsi="Helvetica" w:cs="Helvetica"/>
          <w:sz w:val="24"/>
          <w:sz-cs w:val="24"/>
          <w:spacing w:val="0"/>
          <w:color w:val="000000"/>
        </w:rPr>
        <w:t xml:space="preserve">* Education</w:t>
      </w:r>
    </w:p>
    <w:p>
      <w:pPr/>
      <w:r>
        <w:rPr>
          <w:rFonts w:ascii="Helvetica" w:hAnsi="Helvetica" w:cs="Helvetica"/>
          <w:sz w:val="24"/>
          <w:sz-cs w:val="24"/>
          <w:spacing w:val="0"/>
          <w:color w:val="000000"/>
        </w:rPr>
        <w:t xml:space="preserve">* Others End-User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Kenya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clear boundaries and to anchor the model with dependable, publicly available indicators. We mainly relied on sources such as the US Bureau of Labor Statistics (wage and employment series for relevant roles), the US Census Bureau and UN Comtrade (trade signals for certain hardware categories), and the World Bank (macro and IT spend context) to keep the demand environment realistic.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convert those signals into market-relevant inputs, we also reviewed peer-reviewed papers from sources such as arXiv and IEEE, regulator and standards updates such as NIST and the European Commission, plus annual reports, earnings decks, and product documentation from key suppliers and adopters. In a few places, paid subscriptions were used only for company financials, patent lookups, and shipment-level import and export checks where public detail was thin. These examples are not exhaustive, and many other public sources were referenced to collect data, validate numbers, and clarify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confirming how NLP is purchased and monetized across deployment setups, customer sizes, and end-user industries. We spoke with a mix of solution providers, system integrators, and enterprise buyers across APAC, EMEA, and the Americas, so assumptions on adoption pace, pricing, and services attachment could be adjusted to what is reflected in deals and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39% | CXOs: 14% | APAC: 45% | </w:t>
      </w:r>
    </w:p>
    <w:p>
      <w:pPr/>
      <w:r>
        <w:rPr>
          <w:rFonts w:ascii="Helvetica" w:hAnsi="Helvetica" w:cs="Helvetica"/>
          <w:sz w:val="24"/>
          <w:sz-cs w:val="24"/>
          <w:spacing w:val="0"/>
          <w:color w:val="000000"/>
        </w:rPr>
        <w:t xml:space="preserve">Mid tier: 44% | Functional/Unit leaders: 28% | EMEA: 29% | </w:t>
      </w:r>
    </w:p>
    <w:p>
      <w:pPr/>
      <w:r>
        <w:rPr>
          <w:rFonts w:ascii="Helvetica" w:hAnsi="Helvetica" w:cs="Helvetica"/>
          <w:sz w:val="24"/>
          <w:sz-cs w:val="24"/>
          <w:spacing w:val="0"/>
          <w:color w:val="000000"/>
        </w:rPr>
        <w:t xml:space="preserve">Smaller Players: 17% | Managers: 58% | Americas: 26%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starts with a top-down build where total addressable tech spend is reconstructed into an NLP demand pool using adoption and workload penetration by region and major end-use industries. Once that demand pool is formed, it is split across component types (software, services, and hardware) and deployment modes, using signals on how enterprises implement and maintain NLP over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Several market fingerprints are used as inputs so the totals stay grounded, such as cloud versus on-prem deployment mix, enterprise adoption rates for conversational AI and text analytics, typical services attachment for integration and model tuning, and the shift in average pricing from usage-based pricing toward bundled or platform-based buying. We also track the pace of language coverage expansion, regulatory readiness costs (for example, audit and documentation effort), and the migration from pilot programs to scaled production use, which changes spend intensity. Results are then corroborated with selective bottom-up approximations, including a sampled roll-up of supplier revenues and channel checks on average contract values, and gaps are handled by applying conservative benchmarks where disclosure is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and it is guided by primary feedback on how quickly enterprises operationalize NLP, how pricing changes with model efficiency, and how compliance costs evolve. Scenarios are tied back to measurable drivers like IT spending, AI investment cycles, cloud adoption, and industry-level rollout maturity, then adjusted when regional or vertical patterns diverge from the global trend.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through multiple checks that compare model outputs with independent signals, then investigate outliers before numbers are finalized. We look for mismatches across regions, sudden step-changes in pricing assumptions, and unrealistic adoption jumps by industry, and we revisit those areas through follow-up calls or additional desk 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is reviewed in steps so the definitions, math, and assumptions stay aligned, and any large variance against publicly visible supplier direction is explained. Reports are refreshed annually, with interim updates when material events occur that can move demand or pricing, and a final freshness pass is completed before delivery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Natural Language Processing Market Sizing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NLP market values often vary because research groups do not count the same revenue streams, and they also choose different base years and growth setups. Differences become larger when one estimate blends adjacent AI categories into NLP or assumes faster pricing expansion without matching it to adoption reality.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table shows a spread around the 2025 starting value, and Mordor Intelligence's model restricts the total to NLP-specific revenue across software, services, and related hardware. The breakdown is organized across deployment, organization size, processing type, and end-user industries rather than bundling broader AI platform spending. Gaps also come from how fast usage-based pricing is assumed to rise, how services attachment is treated during scaling, and whether currency conversion uses annual averages or point-in-time rates, which can shift a USD total.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39.37 B (2025) | | </w:t>
      </w:r>
    </w:p>
    <w:p>
      <w:pPr/>
      <w:r>
        <w:rPr>
          <w:rFonts w:ascii="Helvetica" w:hAnsi="Helvetica" w:cs="Helvetica"/>
          <w:sz w:val="24"/>
          <w:sz-cs w:val="24"/>
          <w:spacing w:val="0"/>
          <w:color w:val="000000"/>
        </w:rPr>
        <w:t xml:space="preserve">Trade Journal A | USD 36.80 B (2025) | Uses a narrower solution lens in parts of the write-up, with limited clarity on whether hardware and implementation services are fully counted, which can pull down the stated total. | </w:t>
      </w:r>
    </w:p>
    <w:p>
      <w:pPr/>
      <w:r>
        <w:rPr>
          <w:rFonts w:ascii="Helvetica" w:hAnsi="Helvetica" w:cs="Helvetica"/>
          <w:sz w:val="24"/>
          <w:sz-cs w:val="24"/>
          <w:spacing w:val="0"/>
          <w:color w:val="000000"/>
        </w:rPr>
        <w:t xml:space="preserve">Global Consultancy B | USD 42.47 B (2025) | Applies a more aggressive growth setup and a broader segment map that can pull in adjacent AI revenue lines, and it is less explicit on separating pure NLP spend from wider automation and analytics bundles. | </w:t>
      </w:r>
    </w:p>
    <w:p>
      <w:pPr/>
      <w:r>
        <w:rPr>
          <w:rFonts w:ascii="Helvetica" w:hAnsi="Helvetica" w:cs="Helvetica"/>
          <w:sz w:val="24"/>
          <w:sz-cs w:val="24"/>
          <w:spacing w:val="0"/>
          <w:color w:val="000000"/>
        </w:rPr>
        <w:t xml:space="preserve">When the scope is kept consistent and the spend is tied back to practical adoption and pricing inputs, the gap across published numbers becomes easier to explain. Our approach aims to keep the 2025 value traceable to clear demand drivers and repeatable assumptions, which makes year-to-year updates and regional comparisons more dependable.</w:t>
      </w:r>
    </w:p>
    <w:p>
      <w:pPr/>
      <w:r>
        <w:rPr>
          <w:rFonts w:ascii="Helvetica" w:hAnsi="Helvetica" w:cs="Helvetica"/>
          <w:sz w:val="24"/>
          <w:sz-cs w:val="24"/>
          <w:spacing w:val="0"/>
          <w:color w:val="000000"/>
        </w:rPr>
        <w:t xml:space="preserve">Key Questions Answered in the ReportHow fast is global spending on natural language processing solutions expanding? Between 2026-2031, the natural language processing market grows at a 19.94% CAGR, lifting value from USD 47.37 billion to USD 117.57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shows the strongest growth momentum? Asia-Pacific posts a 22.13% CAGR as sovereign AI mandates in China, Indiaâ€™s public digital stack, and Japanâ€™s healthcare digitization drive accelerated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services outpacing software in future budgets? Enterprises need integration, bias monitoring, and compliance audits, pushing services to a 22.62% CAGR and positioning them to overtake hardware spending by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makes healthcare the fastest-growing end-use segment? Ambient clinical intelligence, coding automation, and drug-discovery text mining cut paperwork by up to 50% and unlock capacity, propelling 24.84% CAGR growth.</w:t>
      </w:r>
    </w:p>
    <w:p>
      <w:pPr/>
      <w:r>
        <w:rPr>
          <w:rFonts w:ascii="Helvetica" w:hAnsi="Helvetica" w:cs="Helvetica"/>
          <w:sz w:val="24"/>
          <w:sz-cs w:val="24"/>
          <w:spacing w:val="0"/>
          <w:color w:val="000000"/>
        </w:rPr>
        <w:t xml:space="preserve">Related Reports Explore More ReportsAI Data Labeling MarketConversational Systems Industry OverviewData Labeling Market SizeDigital Human Industry OverviewMachine Translation IndustryNext Generation Search Engines Industry OverviewReport on Search Engine IndustrySpeech To Speech Translation IndustryIndustry Outlook of Text AnalyticsUS Automatic Content Recognition Market</w:t>
      </w:r>
    </w:p>
    <w:p>
      <w:pPr/>
      <w:r>
        <w:rPr>
          <w:rFonts w:ascii="Helvetica" w:hAnsi="Helvetica" w:cs="Helvetica"/>
          <w:sz w:val="24"/>
          <w:sz-cs w:val="24"/>
          <w:spacing w:val="0"/>
          <w:color w:val="000000"/>
        </w:rPr>
        <w:t xml:space="preserve">Natural Language Processing Market Report Snapshots* Natural Language Processing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