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North America Optical Transponder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https://www.mordorintelligence.com/industry-reports/north-america-optical-transponder-market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North America Optical Transponder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Forecast Data Period | 2026 - 2031 | </w:t>
      </w:r>
    </w:p>
    <w:p>
      <w:pPr/>
      <w:r>
        <w:rPr>
          <w:rFonts w:ascii="Helvetica" w:hAnsi="Helvetica" w:cs="Helvetica"/>
          <w:sz w:val="24"/>
          <w:sz-cs w:val="24"/>
          <w:spacing w:val="0"/>
          <w:color w:val="000000"/>
        </w:rPr>
        <w:t xml:space="preserve">Base Year Market Size (2025) | USD 2.92 Billion | </w:t>
      </w:r>
    </w:p>
    <w:p>
      <w:pPr/>
      <w:r>
        <w:rPr>
          <w:rFonts w:ascii="Helvetica" w:hAnsi="Helvetica" w:cs="Helvetica"/>
          <w:sz w:val="24"/>
          <w:sz-cs w:val="24"/>
          <w:spacing w:val="0"/>
          <w:color w:val="000000"/>
        </w:rPr>
        <w:t xml:space="preserve">Market Size (2026) | USD 3.18 Billion | </w:t>
      </w:r>
    </w:p>
    <w:p>
      <w:pPr/>
      <w:r>
        <w:rPr>
          <w:rFonts w:ascii="Helvetica" w:hAnsi="Helvetica" w:cs="Helvetica"/>
          <w:sz w:val="24"/>
          <w:sz-cs w:val="24"/>
          <w:spacing w:val="0"/>
          <w:color w:val="000000"/>
        </w:rPr>
        <w:t xml:space="preserve">Market Size (2031) | USD 4.81 Billion | </w:t>
      </w:r>
    </w:p>
    <w:p>
      <w:pPr/>
      <w:r>
        <w:rPr>
          <w:rFonts w:ascii="Helvetica" w:hAnsi="Helvetica" w:cs="Helvetica"/>
          <w:sz w:val="24"/>
          <w:sz-cs w:val="24"/>
          <w:spacing w:val="0"/>
          <w:color w:val="000000"/>
        </w:rPr>
        <w:t xml:space="preserve">Growth Rate (2026 - 2031) | 8.63 % | </w:t>
      </w:r>
    </w:p>
    <w:p>
      <w:pPr/>
      <w:r>
        <w:rPr>
          <w:rFonts w:ascii="Helvetica" w:hAnsi="Helvetica" w:cs="Helvetica"/>
          <w:sz w:val="24"/>
          <w:sz-cs w:val="24"/>
          <w:spacing w:val="0"/>
          <w:color w:val="000000"/>
        </w:rPr>
        <w:t xml:space="preserve">Market Concentration | High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North America Optical Transponder Market Analysis by Mordor IntelligenceThe North America Optical Transponder Market size was valued at USD 2.92 billion in 2025 and is estimated to grow from USD 3.18 billion in 2026 to reach USD 4.81 billion by 2031, at a CAGR of 8.63% during the forecast period (2026-2031). AI data center construction is increasing the need for dense links within and between campuses. The shift from 400G toward 800G and 1.6T coherent pluggables is changing product plans and purchasing priorities. Fiber backbone work supported by the USD 42.45 billion BEAD program is widening demand beyond established cloud hubs. Hyperscalers are taking a more direct role in optical equipment procurement, which gives their qualification requirements greater influence over vendor roadmaps. Supply constraints for indium phosphide, or InP, components remain an important risk for the North America optical transponder market because they can limit the availability of advanced optical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transmission technology, coherent technology held 86.21% of the North America Optical Transponder Market share in 2025 and is projected to expand at a 9.12% CAGR through 2031.</w:t>
      </w:r>
    </w:p>
    <w:p>
      <w:pPr/>
      <w:r>
        <w:rPr>
          <w:rFonts w:ascii="Helvetica" w:hAnsi="Helvetica" w:cs="Helvetica"/>
          <w:sz w:val="24"/>
          <w:sz-cs w:val="24"/>
          <w:spacing w:val="0"/>
          <w:color w:val="000000"/>
        </w:rPr>
        <w:t xml:space="preserve">* By data rate, the 100-400 Gbps segment accounted for 41.67% of the North America optical transponder market share in 2025, while the above-800 Gbps segment is projected to expand at a 12.45% CAGR through 2031.</w:t>
      </w:r>
    </w:p>
    <w:p>
      <w:pPr/>
      <w:r>
        <w:rPr>
          <w:rFonts w:ascii="Helvetica" w:hAnsi="Helvetica" w:cs="Helvetica"/>
          <w:sz w:val="24"/>
          <w:sz-cs w:val="24"/>
          <w:spacing w:val="0"/>
          <w:color w:val="000000"/>
        </w:rPr>
        <w:t xml:space="preserve">* By network application, data center interconnect accounted for 31.79% of the North America optical transponder market share in 2025 and is expected to grow at an 11.32% CAGR through 2031.</w:t>
      </w:r>
    </w:p>
    <w:p>
      <w:pPr/>
      <w:r>
        <w:rPr>
          <w:rFonts w:ascii="Helvetica" w:hAnsi="Helvetica" w:cs="Helvetica"/>
          <w:sz w:val="24"/>
          <w:sz-cs w:val="24"/>
          <w:spacing w:val="0"/>
          <w:color w:val="000000"/>
        </w:rPr>
        <w:t xml:space="preserve">* By end user, telecommunication service providers held 48.65% of the North America optical transponder market share in 2025, while cloud and hyperscale data center operators are projected to expand at an 11.55% CAGR through 2031.</w:t>
      </w:r>
    </w:p>
    <w:p>
      <w:pPr/>
      <w:r>
        <w:rPr>
          <w:rFonts w:ascii="Helvetica" w:hAnsi="Helvetica" w:cs="Helvetica"/>
          <w:sz w:val="24"/>
          <w:sz-cs w:val="24"/>
          <w:spacing w:val="0"/>
          <w:color w:val="000000"/>
        </w:rPr>
        <w:t xml:space="preserve">* By country, the United States held 84.60% of the North America optical transponder market share in 2025, while Mexico is expected to expand at a 9.60%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North America Optical Transponder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Hyperscaler AI and Cloud Data-Center Interconnect Expansion | +3.0% | United States, Canada | Short term (â‰¤ 2 years) | </w:t>
      </w:r>
    </w:p>
    <w:p>
      <w:pPr/>
      <w:r>
        <w:rPr>
          <w:rFonts w:ascii="Helvetica" w:hAnsi="Helvetica" w:cs="Helvetica"/>
          <w:sz w:val="24"/>
          <w:sz-cs w:val="24"/>
          <w:spacing w:val="0"/>
          <w:color w:val="000000"/>
        </w:rPr>
        <w:t xml:space="preserve">400G, 800G and 1.6T Coherent-Pluggable Upgrades | +2.0% | United States, Canada | Medium term (2-4 years) | </w:t>
      </w:r>
    </w:p>
    <w:p>
      <w:pPr/>
      <w:r>
        <w:rPr>
          <w:rFonts w:ascii="Helvetica" w:hAnsi="Helvetica" w:cs="Helvetica"/>
          <w:sz w:val="24"/>
          <w:sz-cs w:val="24"/>
          <w:spacing w:val="0"/>
          <w:color w:val="000000"/>
        </w:rPr>
        <w:t xml:space="preserve">5G Transport and Fiber-Backbone Modernization | +1.2% | United States, Canada, Mexico | Medium term (2-4 years) | </w:t>
      </w:r>
    </w:p>
    <w:p>
      <w:pPr/>
      <w:r>
        <w:rPr>
          <w:rFonts w:ascii="Helvetica" w:hAnsi="Helvetica" w:cs="Helvetica"/>
          <w:sz w:val="24"/>
          <w:sz-cs w:val="24"/>
          <w:spacing w:val="0"/>
          <w:color w:val="000000"/>
        </w:rPr>
        <w:t xml:space="preserve">BEAD-Funded Rural Fiber and Backbone Deployment | +0.9% | United States rural and suburban corridors | Medium term (2-4 years) | </w:t>
      </w:r>
    </w:p>
    <w:p>
      <w:pPr/>
      <w:r>
        <w:rPr>
          <w:rFonts w:ascii="Helvetica" w:hAnsi="Helvetica" w:cs="Helvetica"/>
          <w:sz w:val="24"/>
          <w:sz-cs w:val="24"/>
          <w:spacing w:val="0"/>
          <w:color w:val="000000"/>
        </w:rPr>
        <w:t xml:space="preserve">Open Line Systems and Disaggregated Network Adoption | +0.5% | United States, Canada | Long term (â‰¥ 4 years) | </w:t>
      </w:r>
    </w:p>
    <w:p>
      <w:pPr/>
      <w:r>
        <w:rPr>
          <w:rFonts w:ascii="Helvetica" w:hAnsi="Helvetica" w:cs="Helvetica"/>
          <w:sz w:val="24"/>
          <w:sz-cs w:val="24"/>
          <w:spacing w:val="0"/>
          <w:color w:val="000000"/>
        </w:rPr>
        <w:t xml:space="preserve">Direct Hyperscaler Procurement of Coherent Optics | +0.5% | United States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Hyperscaler AI and Cloud Data Center Interconnect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 infrastructure investment by major cloud operators is changing optical demand across North America. Training clusters often operate across multiple campuses, increasing the need for high-capacity links between computing locations. This requirement favors coherent optical equipment that can support demanding bandwidth and reach needs. NVIDIA announced a USD 2 billion equity investment in Coherent Corp. in March 2026, alongside a multiyear purchase commitment for co-packaged optics, continuous-wave lasers, and advanced networking products. The North America optical transponder market benefits when these projects move from planning into construction, because each campus connection needs optical capacity. Direct procurement also makes early supplier qualification more important, especially for advanced coherent modules.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400G, 800G, and 1.6T Coherent Pluggable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transition from separate transponder shelves to coherent pluggable modules is changing network design choices. Pluggables can lower the cost per bit and give operators more flexibility when expanding capacity. The OIF published its 800ZR implementation agreement in late 2024, and 800G coherent pluggables became available during 2025.[1]Optical Internetworking Forum, â€œ800G ZR,â€ Optical Internetworking Forum, oiforum.com Ciena, Marvell, and Nokia presented 1.6T coherent product roadmaps at OFC 2026, while commercial availability is expected before the end of 2027. The North America optical transponder market is therefore moving toward a shorter product cycle, with 1.6T approval becoming an important basis for supplier selection. Cisco also introduced 1.6T optics alongside its Silicon One G300 platform for AI data center networks.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5G Transport and Fiber Backbone Modernization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C-band 5G network expansion requires transport upgrades across fronthaul, midhaul, and backhaul networks. These upgrades support recurring demand for coherent optical equipment in metro and regional networks. Mobile edge computing locations also need low-latency midhaul links when connected to large cloud campuses. Lightpath added 265 route-miles of fiber in May 2026 to serve more than 2,400 macro cell towers across Connecticut, Massachusetts, New York, and New Jersey.[2]Lightpath, â€œLightpath Expands Its Dense NYC Metropolitan Fiber Infrastructure Network,â€ Lightpath, lightpathfiber.com The deployment provides 100 Gbps and 400 Gbps aggregation links for wireless operators, demonstrating how fiber projects can support 5G and AI traffic simultaneously. ITU-T G.709 also provides an interoperability framework for optical transport networks and supports the use of standards-compliant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BEAD-Funded Rural Fiber and Backbone Deployment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BEAD program provides USD 42.45 billion for broadband deployment in the United States.[3]National Telecommunications and Information Administration, â€œBroadband Equity, Access, and Deployment Program,â€ NTIA, ntia.gov Fiber access networks need backbone aggregation capacity, creating demand for optical equipment at several points in the network. The program is technology-neutral under a policy notice issued in June 2025, which can affect the share of awards directed to fiber. Even so, large fiber backbone projects continue to support the North America optical transponder market. DCN, Range, and WIN Technology announced the USD 700 million Heartland Fiber Project in May 2026, covering 2,000 miles across 7 states.[4]Dakota Carrier Network, â€œPartners Launch Heartland Fiber Project,â€ Dakota Carrier Network, dakotacarrier.com These networks need high-capacity links at aggregation locations and can provide a durable source of equipment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InP and Silicon Photonics Capacity Constraints | -1.5% | Global, United States-led procurement | Short term (â‰¤ 2 years) | </w:t>
      </w:r>
    </w:p>
    <w:p>
      <w:pPr/>
      <w:r>
        <w:rPr>
          <w:rFonts w:ascii="Helvetica" w:hAnsi="Helvetica" w:cs="Helvetica"/>
          <w:sz w:val="24"/>
          <w:sz-cs w:val="24"/>
          <w:spacing w:val="0"/>
          <w:color w:val="000000"/>
        </w:rPr>
        <w:t xml:space="preserve">Hyperscaler Qualification Cycles and Vendor Price Pressure | -0.9% | United States | Short term (â‰¤ 2 years) | </w:t>
      </w:r>
    </w:p>
    <w:p>
      <w:pPr/>
      <w:r>
        <w:rPr>
          <w:rFonts w:ascii="Helvetica" w:hAnsi="Helvetica" w:cs="Helvetica"/>
          <w:sz w:val="24"/>
          <w:sz-cs w:val="24"/>
          <w:spacing w:val="0"/>
          <w:color w:val="000000"/>
        </w:rPr>
        <w:t xml:space="preserve">Export Controls and Fragmented Coherent DSP Roadmaps | -0.5% | United States, Canada | Medium term (2-4 years) | </w:t>
      </w:r>
    </w:p>
    <w:p>
      <w:pPr/>
      <w:r>
        <w:rPr>
          <w:rFonts w:ascii="Helvetica" w:hAnsi="Helvetica" w:cs="Helvetica"/>
          <w:sz w:val="24"/>
          <w:sz-cs w:val="24"/>
          <w:spacing w:val="0"/>
          <w:color w:val="000000"/>
        </w:rPr>
        <w:t xml:space="preserve">Fiber Density, Power, and Rack Integration Limits in AI Facilities | -0.3% | United States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InP and Silicon Photonics Capacity Constraints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InP substrates are essential inputs for many high-performance optical components. Limited availability can delay the production of coherent modules and co-packaged optics. This pressure affects the North America optical transponder market because AI-oriented products use advanced photonic components at high volumes. Manufacturers are responding with capacity planning and process improvements, but expanding advanced component supply remains difficult to do quickly. Silicon photonics does not remove the need for InP lasers in many co-packaged optical designs. Suppliers must therefore manage component capacity, qualification schedules, and customer commitments simultaneously. The resulting constraints can raise procurement risk for vendors and large optical equipment buyers.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Hyperscaler Qualification Cycles and Vendor Price Pressure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Hyperscaler qualification requires extensive component and system testing before suppliers receive volume orders. The process can include thermal, power, and interoperability testing in the customerâ€™s operating environment. These requirements can be difficult for smaller suppliers that must maintain production readiness before demand is confirmed. Qualified suppliers also face price pressure after customers approve more than 1 source. Strong demand makes supply planning important for qualified suppliers. The North America optical transponder market may therefore see a split between premium products that have early approval and mature products that face more active price competition.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Transmission Technology: Coherent Technology Maintains Broad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Coherent technology held 86.21% revenue share in 2025 and is projected to expand at a 9.12% CAGR through 2031. Its position reflects widespread use in metro, long-haul, and data center interconnect networks operating at 100G and higher. Coherent processing supports the reach and capacity requirements of these networks. The North America optical transponder industry relies on coherent platforms when operators need greater spectral efficiency and more flexible modulation. Non-coherent technology remains relevant for access-edge connections and enterprise campuses with shorter link distances. In these deployments, simpler receiver designs and lower port costs can outweigh the benefits of coherent digital signal processing.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Nokia introduced application-optimized coherent solutions at OFC 2026 using InP and silicon photonics building blocks. The company described 4 new digital signal processor families designed for different network requirements. Cienaâ€™s WaveLogic 6 platform is designed to support single-carrier 1.6T coherent pluggables and full-spectrum transponders. Nokia also deployed ICE7 technology with Aureon and t3 Broadband on a Midwest data center corridor. These product developments show why coherent technology remains central to the North America optical transponder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Data Rate: Higher-Speed Products Shape the Upgrade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100Gbps to 400Gbps segment accounted for 41.67% of the North America optical transponder market in 2025. The segment reflects the installed base of 100G, 200G, and 400G coherent systems in carrier, metro, and 5G transport networks. The above 800 Gbps segment is projected to expand at a 12.45% CAGR through 2031. This higher-speed tier is supported by links between hyperscale campuses and the expected commercial ramp of 1.6T deployments from late 2027. Up to 100Gbps products continue to support legacy carrier services and enterprise links where a full coherent upgrade has weaker near-term economics.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above 400Gbps to 800Gbps tier is the high-volume component of the current upgrade cycle. OIFâ€™s 800ZR work helped establish a common framework for 800G coherent pluggables. These products are used in new data center interconnect deployments where capacity and deployment flexibility are important. Cisco launched its Open Transport 3000 Series and 1.6T OSFP optics for scale-across and long-haul data center connections. The North America optical transponder market is likely to retain demand across several speed tiers while operators migrate at different rates. Product availability and qualification timing will influence how quickly customers move beyond 800G.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Network Application: Data Center Interconnect Leads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center interconnect accounted for 31.79% of the North America optical transponder market size in 2025 and is expected to expand at an 11.32% CAGR through 2031. Distributed AI training environments create heavy traffic flows between campuses. These flows require optical links that can carry large volumes of data across short, metro, and regional distances. The application is important because cloud operators are placing computing capacity across multiple locations. Data center interconnect designs increasingly integrate computing clusters, storage resources, and network gateways into a single operating environment.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Metro networks remain important because 5G expansion and urban fiber densification require added transport capacity. Lightpathâ€™s May 2026 fiber expansion supported wireless operators with 100 Gbps and 400 Gbps aggregation connections. Long-haul networks also receive more attention as AI traffic increases the need for new national fiber corridors. Lumen announced its NorthLine fiber route in 2026 to support AI data movement across northern United States data center corridors. Submarine systems remain a demanding niche because of their reach and engineering requirements. Government and defense applications add incremental demand where encryption and supply-chain requirements can influence vendor selection.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 User: Cloud Operators Change Procurement Priorities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Telecommunication service providers accounted for 48.65% of revenue in 2025, supported by their extensive fiber infrastructure and ongoing 5G transport upgrades. Cloud and hyperscale data center operators are projected to expand at an 11.55% CAGR through 2031. Their role is changing as they move from leased capacity toward direct equipment ownership and, in some cases, new infrastructure construction. This shift makes cloud customer requirements more important in the North America optical transponder industry. These customers increasingly assess product availability, power use, density, and interoperability alongside bandwidth performance.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 operators also use disaggregated line systems and pluggable coherent modules in selected deployments, replacing traditional integrated architectures. This approach can give customers greater choice over equipment suppliers and network design. Enterprise users are adopting 400G coherent pluggables for campus and regional connections, although margins are more limited in this group. Government and defense users require features such as MACsec encryption and supply-chain verification. Ciscoâ€™s 1.6T product announcement emphasized scaling AI data center infrastructure with advanced systems and optics. These varied requirements mean suppliers need product portfolios that address different operating environments without losing focus on high-volume cloud demand.</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United States held 84.60% of the North America optical transponder market share in 2025. Its position is linked to the concentration of hyperscale campuses in Northern Virginia, Silicon Valley, Phoenix, Oregon, and Texas. These locations need high-capacity connections within and between data center campuses. Federal broadband funding also expands the addressable network base into rural and suburban areas. The USD 42.45 billion BEAD program supports broadband deployment across the United States. DCN, Range, and WIN Technology announced the USD 700 million Heartland Fiber Project in May 2026, which covers 2,000 miles across Colorado, Wyoming, Montana, North Dakota, Minnesota, Wisconsin, and Illinois.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Canada is the second-largest market in the region. Operators in Toronto, Montreal, and Vancouver are deploying metro data center interconnect rings and coherent backbone platforms as part of 5G mid-band expansion. BCE and Rogers have integrated coherent pluggable optics into metro dense wavelength division multiplexing platforms. The Canadian Radio-television and Telecommunications Commission affects procurement schedules through open-access and interoperability requirements. These policies support standards-based, multi-vendor, coherent platforms. Canadaâ€™s Universal Broadband Fund also supports fiber deployments in remote and Indigenous communities.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Mexico is expected to expand at a 9.60% CAGR through 2031, making it the fastest-growing country in the regional market. Nearshoring investment and data center development around Queretaro are strengthening the case for new cross-border fiber routes. Nokia deployed a scalable, dense wavelength-division multiplexing backbone for MX Fiber across 1,800km in Southeast Mexico during 2025. The deployment supports 10G through 400G services and has an upgrade path to 2.4Tbps per route. C3ntro Telecomâ€™s Tikva project and Neutral Networksâ€™ NEXT network show continued interest in links between Mexican digital hubs and the United States infrastructure. Federal connectivity goals for underserved southern and southeastern states can sustain carrier optical procurement through the forecast period.</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North America optical transponder market is consolidated in cloud-serving systems. Ciena, Nokia, and Cisco hold strong positions with proprietary digital signal processing platforms and broad optical portfolios. Nokia completed its acquisition of Infinera in February 2025, combining the companiesâ€™ optical networking capabilities. Cienaâ€™s WaveLogic 6, Ciscoâ€™s Silicon One G300, and Nokiaâ€™s ICE platforms reflect a continued focus on internally developed silicon. This approach can help vendors optimize performance and power use for advanced coherent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Regional carriers can choose disaggregated optical line systems and multi-vendor control frameworks. This gives suppliers such as Edgecore, Ekinops, and Smartoptics an opportunity to serve customers who do not want a fully proprietary system. The competitive setting remains demanding because large cloud customers require extensive qualification and dependable supply. NVIDIA announced USD 2 billion equity investments in Coherent Corp. and Lumentum in March 2026. Each investment included a multiyear purchase commitment for advanced optical products. These arrangements give component suppliers demand visibility while securing NVIDIAâ€™s access to key photonics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Ciena completed its USD 270 million acquisition of Nubis Communications in October 2025 to expand its inside-the-data-center capabilities. Cisco introduced its Open Transport 3000 Series, Silicon One G300 platform, and 1.6T OSFP optics. Nokia introduced 4 digital signal processor families and new optical front ends for AI-era networks. These moves show that vendors are expanding their product scope toward denser, lower-power AI data center connections. Security rules can also narrow the field in carrier and government contracts, where vendor eligibility and component sourcing are subject to closer review.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Optical Transponder Industry Leaders* Ciena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Nokia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Lumentum Holdings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Coherent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May 2026: DCN, Range, and WIN Technology jointly announced the Heartland Fiber Project, a USD 700 million, 2,000-mile, 7-state backbone fiber expansion spanning Colorado, Wyoming, Montana, North Dakota, Minnesota, Wisconsin, and Illinois, designed to deliver high-capacity coherent optical connectivity for regional AI hyperscale data center development and carrier traffic over a 1-2 year deployment timeline.</w:t>
      </w:r>
    </w:p>
    <w:p>
      <w:pPr/>
      <w:r>
        <w:rPr>
          <w:rFonts w:ascii="Helvetica" w:hAnsi="Helvetica" w:cs="Helvetica"/>
          <w:sz w:val="24"/>
          <w:sz-cs w:val="24"/>
          <w:spacing w:val="0"/>
          <w:color w:val="000000"/>
        </w:rPr>
        <w:t xml:space="preserve">* May 2026: Lightpath expanded its metropolitan fiber network by 265 route miles to serve more than 2,400 macro cell tower locations across Connecticut, Massachusetts, New York, and New Jersey, delivering 100Gbps and 400Gbps aggregation links for national wireless operators and supporting optical transport at speeds up to 800Gbps across its 12,100-route-mile AI-grade network.</w:t>
      </w:r>
    </w:p>
    <w:p>
      <w:pPr/>
      <w:r>
        <w:rPr>
          <w:rFonts w:ascii="Helvetica" w:hAnsi="Helvetica" w:cs="Helvetica"/>
          <w:sz w:val="24"/>
          <w:sz-cs w:val="24"/>
          <w:spacing w:val="0"/>
          <w:color w:val="000000"/>
        </w:rPr>
        <w:t xml:space="preserve">* March 2026: NVIDIA announced a USD 2 billion equity investment in Coherent Corp. alongside a multibillion-dollar multiyear purchase commitment covering co-packaged optics, high-power continuous-wave lasers, and advanced optical networking products designed to scale next-generation AI data center connectivity infrastructure.</w:t>
      </w:r>
    </w:p>
    <w:p>
      <w:pPr/>
      <w:r>
        <w:rPr>
          <w:rFonts w:ascii="Helvetica" w:hAnsi="Helvetica" w:cs="Helvetica"/>
          <w:sz w:val="24"/>
          <w:sz-cs w:val="24"/>
          <w:spacing w:val="0"/>
          <w:color w:val="000000"/>
        </w:rPr>
        <w:t xml:space="preserve">* February 2026: Cisco launched the Open Transport 3000 Series multi-rail optical line system alongside the Silicon One G300 platform, and 1.6T OSFP optics at OFC 2026, targeting hyperscaler scale-across deployments and long-haul data center interconnect at AI data centers.</w:t>
      </w:r>
    </w:p>
    <w:p>
      <w:pPr/>
      <w:r>
        <w:rPr>
          <w:rFonts w:ascii="Helvetica" w:hAnsi="Helvetica" w:cs="Helvetica"/>
          <w:sz w:val="24"/>
          <w:sz-cs w:val="24"/>
          <w:spacing w:val="0"/>
          <w:color w:val="000000"/>
        </w:rPr>
        <w:t xml:space="preserve">Table of Contents for North America Optical Transponder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Hyperscaler AI and Cloud Data-Center Interconnect Expansion</w:t>
      </w:r>
    </w:p>
    <w:p>
      <w:pPr/>
      <w:r>
        <w:rPr>
          <w:rFonts w:ascii="Helvetica" w:hAnsi="Helvetica" w:cs="Helvetica"/>
          <w:sz w:val="24"/>
          <w:sz-cs w:val="24"/>
          <w:spacing w:val="0"/>
          <w:color w:val="000000"/>
        </w:rPr>
        <w:t xml:space="preserve">* 4.2.2 400G, 800G and 1.6T Coherent-Pluggable Upgrades</w:t>
      </w:r>
    </w:p>
    <w:p>
      <w:pPr/>
      <w:r>
        <w:rPr>
          <w:rFonts w:ascii="Helvetica" w:hAnsi="Helvetica" w:cs="Helvetica"/>
          <w:sz w:val="24"/>
          <w:sz-cs w:val="24"/>
          <w:spacing w:val="0"/>
          <w:color w:val="000000"/>
        </w:rPr>
        <w:t xml:space="preserve">* 4.2.3 5G Transport and Fiber-Backbone Modernization</w:t>
      </w:r>
    </w:p>
    <w:p>
      <w:pPr/>
      <w:r>
        <w:rPr>
          <w:rFonts w:ascii="Helvetica" w:hAnsi="Helvetica" w:cs="Helvetica"/>
          <w:sz w:val="24"/>
          <w:sz-cs w:val="24"/>
          <w:spacing w:val="0"/>
          <w:color w:val="000000"/>
        </w:rPr>
        <w:t xml:space="preserve">* 4.2.4 BEAD-Funded Rural Fiber and Backbone Deployment</w:t>
      </w:r>
    </w:p>
    <w:p>
      <w:pPr/>
      <w:r>
        <w:rPr>
          <w:rFonts w:ascii="Helvetica" w:hAnsi="Helvetica" w:cs="Helvetica"/>
          <w:sz w:val="24"/>
          <w:sz-cs w:val="24"/>
          <w:spacing w:val="0"/>
          <w:color w:val="000000"/>
        </w:rPr>
        <w:t xml:space="preserve">* 4.2.5 Open Line Systems and Disaggregated Network Adoption</w:t>
      </w:r>
    </w:p>
    <w:p>
      <w:pPr/>
      <w:r>
        <w:rPr>
          <w:rFonts w:ascii="Helvetica" w:hAnsi="Helvetica" w:cs="Helvetica"/>
          <w:sz w:val="24"/>
          <w:sz-cs w:val="24"/>
          <w:spacing w:val="0"/>
          <w:color w:val="000000"/>
        </w:rPr>
        <w:t xml:space="preserve">* 4.2.6 Direct Hyperscaler Procurement of Coherent Optics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InP and Silicon-Photonics Capacity Constraints</w:t>
      </w:r>
    </w:p>
    <w:p>
      <w:pPr/>
      <w:r>
        <w:rPr>
          <w:rFonts w:ascii="Helvetica" w:hAnsi="Helvetica" w:cs="Helvetica"/>
          <w:sz w:val="24"/>
          <w:sz-cs w:val="24"/>
          <w:spacing w:val="0"/>
          <w:color w:val="000000"/>
        </w:rPr>
        <w:t xml:space="preserve">* 4.3.2 Hyperscaler Qualification Cycles and Vendor Price Pressure</w:t>
      </w:r>
    </w:p>
    <w:p>
      <w:pPr/>
      <w:r>
        <w:rPr>
          <w:rFonts w:ascii="Helvetica" w:hAnsi="Helvetica" w:cs="Helvetica"/>
          <w:sz w:val="24"/>
          <w:sz-cs w:val="24"/>
          <w:spacing w:val="0"/>
          <w:color w:val="000000"/>
        </w:rPr>
        <w:t xml:space="preserve">* 4.3.3 Export Controls and Fragmented Coherent-DSP Roadmaps</w:t>
      </w:r>
    </w:p>
    <w:p>
      <w:pPr/>
      <w:r>
        <w:rPr>
          <w:rFonts w:ascii="Helvetica" w:hAnsi="Helvetica" w:cs="Helvetica"/>
          <w:sz w:val="24"/>
          <w:sz-cs w:val="24"/>
          <w:spacing w:val="0"/>
          <w:color w:val="000000"/>
        </w:rPr>
        <w:t xml:space="preserve">* 4.3.4 Fiber-Density, Power and Rack-Integration Limits in AI Facilities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Porter's Five Forces Analysis* 4.6.1 Threat of New Entrants</w:t>
      </w:r>
    </w:p>
    <w:p>
      <w:pPr/>
      <w:r>
        <w:rPr>
          <w:rFonts w:ascii="Helvetica" w:hAnsi="Helvetica" w:cs="Helvetica"/>
          <w:sz w:val="24"/>
          <w:sz-cs w:val="24"/>
          <w:spacing w:val="0"/>
          <w:color w:val="000000"/>
        </w:rPr>
        <w:t xml:space="preserve">* 4.6.2 Bargaining Power of Suppliers</w:t>
      </w:r>
    </w:p>
    <w:p>
      <w:pPr/>
      <w:r>
        <w:rPr>
          <w:rFonts w:ascii="Helvetica" w:hAnsi="Helvetica" w:cs="Helvetica"/>
          <w:sz w:val="24"/>
          <w:sz-cs w:val="24"/>
          <w:spacing w:val="0"/>
          <w:color w:val="000000"/>
        </w:rPr>
        <w:t xml:space="preserve">* 4.6.3 Bargaining Power of Buyers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4.7 Impact of Macroeconomic Factors on the Market</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Transmission Technology* 5.1.1 Coherent</w:t>
      </w:r>
    </w:p>
    <w:p>
      <w:pPr/>
      <w:r>
        <w:rPr>
          <w:rFonts w:ascii="Helvetica" w:hAnsi="Helvetica" w:cs="Helvetica"/>
          <w:sz w:val="24"/>
          <w:sz-cs w:val="24"/>
          <w:spacing w:val="0"/>
          <w:color w:val="000000"/>
        </w:rPr>
        <w:t xml:space="preserve">* 5.1.2 Non-Coherent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Data Rate* 5.2.1 Up to 100 Gbps</w:t>
      </w:r>
    </w:p>
    <w:p>
      <w:pPr/>
      <w:r>
        <w:rPr>
          <w:rFonts w:ascii="Helvetica" w:hAnsi="Helvetica" w:cs="Helvetica"/>
          <w:sz w:val="24"/>
          <w:sz-cs w:val="24"/>
          <w:spacing w:val="0"/>
          <w:color w:val="000000"/>
        </w:rPr>
        <w:t xml:space="preserve">* 5.2.2 Above 100 Gbps to 400 Gbps</w:t>
      </w:r>
    </w:p>
    <w:p>
      <w:pPr/>
      <w:r>
        <w:rPr>
          <w:rFonts w:ascii="Helvetica" w:hAnsi="Helvetica" w:cs="Helvetica"/>
          <w:sz w:val="24"/>
          <w:sz-cs w:val="24"/>
          <w:spacing w:val="0"/>
          <w:color w:val="000000"/>
        </w:rPr>
        <w:t xml:space="preserve">* 5.2.3 Above 400 Gbps to 800 Gbps</w:t>
      </w:r>
    </w:p>
    <w:p>
      <w:pPr/>
      <w:r>
        <w:rPr>
          <w:rFonts w:ascii="Helvetica" w:hAnsi="Helvetica" w:cs="Helvetica"/>
          <w:sz w:val="24"/>
          <w:sz-cs w:val="24"/>
          <w:spacing w:val="0"/>
          <w:color w:val="000000"/>
        </w:rPr>
        <w:t xml:space="preserve">* 5.2.4 Above 800 Gbps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Network Application* 5.3.1 Metro</w:t>
      </w:r>
    </w:p>
    <w:p>
      <w:pPr/>
      <w:r>
        <w:rPr>
          <w:rFonts w:ascii="Helvetica" w:hAnsi="Helvetica" w:cs="Helvetica"/>
          <w:sz w:val="24"/>
          <w:sz-cs w:val="24"/>
          <w:spacing w:val="0"/>
          <w:color w:val="000000"/>
        </w:rPr>
        <w:t xml:space="preserve">* 5.3.2 Long-Haul</w:t>
      </w:r>
    </w:p>
    <w:p>
      <w:pPr/>
      <w:r>
        <w:rPr>
          <w:rFonts w:ascii="Helvetica" w:hAnsi="Helvetica" w:cs="Helvetica"/>
          <w:sz w:val="24"/>
          <w:sz-cs w:val="24"/>
          <w:spacing w:val="0"/>
          <w:color w:val="000000"/>
        </w:rPr>
        <w:t xml:space="preserve">* 5.3.3 Data Center Interconnect</w:t>
      </w:r>
    </w:p>
    <w:p>
      <w:pPr/>
      <w:r>
        <w:rPr>
          <w:rFonts w:ascii="Helvetica" w:hAnsi="Helvetica" w:cs="Helvetica"/>
          <w:sz w:val="24"/>
          <w:sz-cs w:val="24"/>
          <w:spacing w:val="0"/>
          <w:color w:val="000000"/>
        </w:rPr>
        <w:t xml:space="preserve">* 5.3.4 Submarine</w:t>
      </w:r>
    </w:p>
    <w:p>
      <w:pPr/>
      <w:r>
        <w:rPr>
          <w:rFonts w:ascii="Helvetica" w:hAnsi="Helvetica" w:cs="Helvetica"/>
          <w:sz w:val="24"/>
          <w:sz-cs w:val="24"/>
          <w:spacing w:val="0"/>
          <w:color w:val="000000"/>
        </w:rPr>
        <w:t xml:space="preserve">* 5.3.5 Other Network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Telecommunication Service Providers</w:t>
      </w:r>
    </w:p>
    <w:p>
      <w:pPr/>
      <w:r>
        <w:rPr>
          <w:rFonts w:ascii="Helvetica" w:hAnsi="Helvetica" w:cs="Helvetica"/>
          <w:sz w:val="24"/>
          <w:sz-cs w:val="24"/>
          <w:spacing w:val="0"/>
          <w:color w:val="000000"/>
        </w:rPr>
        <w:t xml:space="preserve">* 5.4.2 Cloud and Hyperscale Data Center Operators</w:t>
      </w:r>
    </w:p>
    <w:p>
      <w:pPr/>
      <w:r>
        <w:rPr>
          <w:rFonts w:ascii="Helvetica" w:hAnsi="Helvetica" w:cs="Helvetica"/>
          <w:sz w:val="24"/>
          <w:sz-cs w:val="24"/>
          <w:spacing w:val="0"/>
          <w:color w:val="000000"/>
        </w:rPr>
        <w:t xml:space="preserve">* 5.4.3 Enterprises</w:t>
      </w:r>
    </w:p>
    <w:p>
      <w:pPr/>
      <w:r>
        <w:rPr>
          <w:rFonts w:ascii="Helvetica" w:hAnsi="Helvetica" w:cs="Helvetica"/>
          <w:sz w:val="24"/>
          <w:sz-cs w:val="24"/>
          <w:spacing w:val="0"/>
          <w:color w:val="000000"/>
        </w:rPr>
        <w:t xml:space="preserve">* 5.4.4 Government and Defense</w:t>
      </w:r>
    </w:p>
    <w:p>
      <w:pPr/>
      <w:r>
        <w:rPr>
          <w:rFonts w:ascii="Helvetica" w:hAnsi="Helvetica" w:cs="Helvetica"/>
          <w:sz w:val="24"/>
          <w:sz-cs w:val="24"/>
          <w:spacing w:val="0"/>
          <w:color w:val="000000"/>
        </w:rPr>
        <w:t xml:space="preserve">* 5.4.5 Other End-Users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Country* 5.5.1 United States</w:t>
      </w:r>
    </w:p>
    <w:p>
      <w:pPr/>
      <w:r>
        <w:rPr>
          <w:rFonts w:ascii="Helvetica" w:hAnsi="Helvetica" w:cs="Helvetica"/>
          <w:sz w:val="24"/>
          <w:sz-cs w:val="24"/>
          <w:spacing w:val="0"/>
          <w:color w:val="000000"/>
        </w:rPr>
        <w:t xml:space="preserve">* 5.5.2 Canada</w:t>
      </w:r>
    </w:p>
    <w:p>
      <w:pPr/>
      <w:r>
        <w:rPr>
          <w:rFonts w:ascii="Helvetica" w:hAnsi="Helvetica" w:cs="Helvetica"/>
          <w:sz w:val="24"/>
          <w:sz-cs w:val="24"/>
          <w:spacing w:val="0"/>
          <w:color w:val="000000"/>
        </w:rPr>
        <w:t xml:space="preserve">* 5.5.3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Ciena Corporation</w:t>
      </w:r>
    </w:p>
    <w:p>
      <w:pPr/>
      <w:r>
        <w:rPr>
          <w:rFonts w:ascii="Helvetica" w:hAnsi="Helvetica" w:cs="Helvetica"/>
          <w:sz w:val="24"/>
          <w:sz-cs w:val="24"/>
          <w:spacing w:val="0"/>
          <w:color w:val="000000"/>
        </w:rPr>
        <w:t xml:space="preserve">* 6.4.2 Nokia Corporation</w:t>
      </w:r>
    </w:p>
    <w:p>
      <w:pPr/>
      <w:r>
        <w:rPr>
          <w:rFonts w:ascii="Helvetica" w:hAnsi="Helvetica" w:cs="Helvetica"/>
          <w:sz w:val="24"/>
          <w:sz-cs w:val="24"/>
          <w:spacing w:val="0"/>
          <w:color w:val="000000"/>
        </w:rPr>
        <w:t xml:space="preserve">* 6.4.3 Cisco Systems, Inc.</w:t>
      </w:r>
    </w:p>
    <w:p>
      <w:pPr/>
      <w:r>
        <w:rPr>
          <w:rFonts w:ascii="Helvetica" w:hAnsi="Helvetica" w:cs="Helvetica"/>
          <w:sz w:val="24"/>
          <w:sz-cs w:val="24"/>
          <w:spacing w:val="0"/>
          <w:color w:val="000000"/>
        </w:rPr>
        <w:t xml:space="preserve">* 6.4.4 Acacia Communications, Inc. (Cisco Systems, Inc.)</w:t>
      </w:r>
    </w:p>
    <w:p>
      <w:pPr/>
      <w:r>
        <w:rPr>
          <w:rFonts w:ascii="Helvetica" w:hAnsi="Helvetica" w:cs="Helvetica"/>
          <w:sz w:val="24"/>
          <w:sz-cs w:val="24"/>
          <w:spacing w:val="0"/>
          <w:color w:val="000000"/>
        </w:rPr>
        <w:t xml:space="preserve">* 6.4.5 Coherent Corp.</w:t>
      </w:r>
    </w:p>
    <w:p>
      <w:pPr/>
      <w:r>
        <w:rPr>
          <w:rFonts w:ascii="Helvetica" w:hAnsi="Helvetica" w:cs="Helvetica"/>
          <w:sz w:val="24"/>
          <w:sz-cs w:val="24"/>
          <w:spacing w:val="0"/>
          <w:color w:val="000000"/>
        </w:rPr>
        <w:t xml:space="preserve">* 6.4.6 Lumentum Holdings Inc.</w:t>
      </w:r>
    </w:p>
    <w:p>
      <w:pPr/>
      <w:r>
        <w:rPr>
          <w:rFonts w:ascii="Helvetica" w:hAnsi="Helvetica" w:cs="Helvetica"/>
          <w:sz w:val="24"/>
          <w:sz-cs w:val="24"/>
          <w:spacing w:val="0"/>
          <w:color w:val="000000"/>
        </w:rPr>
        <w:t xml:space="preserve">* 6.4.7 Marvell Technology, Inc.</w:t>
      </w:r>
    </w:p>
    <w:p>
      <w:pPr/>
      <w:r>
        <w:rPr>
          <w:rFonts w:ascii="Helvetica" w:hAnsi="Helvetica" w:cs="Helvetica"/>
          <w:sz w:val="24"/>
          <w:sz-cs w:val="24"/>
          <w:spacing w:val="0"/>
          <w:color w:val="000000"/>
        </w:rPr>
        <w:t xml:space="preserve">* 6.4.8 Broadcom Inc.</w:t>
      </w:r>
    </w:p>
    <w:p>
      <w:pPr/>
      <w:r>
        <w:rPr>
          <w:rFonts w:ascii="Helvetica" w:hAnsi="Helvetica" w:cs="Helvetica"/>
          <w:sz w:val="24"/>
          <w:sz-cs w:val="24"/>
          <w:spacing w:val="0"/>
          <w:color w:val="000000"/>
        </w:rPr>
        <w:t xml:space="preserve">* 6.4.9 Fujitsu Limited</w:t>
      </w:r>
    </w:p>
    <w:p>
      <w:pPr/>
      <w:r>
        <w:rPr>
          <w:rFonts w:ascii="Helvetica" w:hAnsi="Helvetica" w:cs="Helvetica"/>
          <w:sz w:val="24"/>
          <w:sz-cs w:val="24"/>
          <w:spacing w:val="0"/>
          <w:color w:val="000000"/>
        </w:rPr>
        <w:t xml:space="preserve">* 6.4.10 PacketLight Networks, Ltd.</w:t>
      </w:r>
    </w:p>
    <w:p>
      <w:pPr/>
      <w:r>
        <w:rPr>
          <w:rFonts w:ascii="Helvetica" w:hAnsi="Helvetica" w:cs="Helvetica"/>
          <w:sz w:val="24"/>
          <w:sz-cs w:val="24"/>
          <w:spacing w:val="0"/>
          <w:color w:val="000000"/>
        </w:rPr>
        <w:t xml:space="preserve">* 6.4.11 NEC Corporation</w:t>
      </w:r>
    </w:p>
    <w:p>
      <w:pPr/>
      <w:r>
        <w:rPr>
          <w:rFonts w:ascii="Helvetica" w:hAnsi="Helvetica" w:cs="Helvetica"/>
          <w:sz w:val="24"/>
          <w:sz-cs w:val="24"/>
          <w:spacing w:val="0"/>
          <w:color w:val="000000"/>
        </w:rPr>
        <w:t xml:space="preserve">* 6.4.12 Ribbon Communications Inc.</w:t>
      </w:r>
    </w:p>
    <w:p>
      <w:pPr/>
      <w:r>
        <w:rPr>
          <w:rFonts w:ascii="Helvetica" w:hAnsi="Helvetica" w:cs="Helvetica"/>
          <w:sz w:val="24"/>
          <w:sz-cs w:val="24"/>
          <w:spacing w:val="0"/>
          <w:color w:val="000000"/>
        </w:rPr>
        <w:t xml:space="preserve">* 6.4.13 Juniper Networks, Inc.</w:t>
      </w:r>
    </w:p>
    <w:p>
      <w:pPr/>
      <w:r>
        <w:rPr>
          <w:rFonts w:ascii="Helvetica" w:hAnsi="Helvetica" w:cs="Helvetica"/>
          <w:sz w:val="24"/>
          <w:sz-cs w:val="24"/>
          <w:spacing w:val="0"/>
          <w:color w:val="000000"/>
        </w:rPr>
        <w:t xml:space="preserve">* 6.4.14 ADTRAN Holdings, Inc.</w:t>
      </w:r>
    </w:p>
    <w:p>
      <w:pPr/>
      <w:r>
        <w:rPr>
          <w:rFonts w:ascii="Helvetica" w:hAnsi="Helvetica" w:cs="Helvetica"/>
          <w:sz w:val="24"/>
          <w:sz-cs w:val="24"/>
          <w:spacing w:val="0"/>
          <w:color w:val="000000"/>
        </w:rPr>
        <w:t xml:space="preserve">* 6.4.15 Tejas Networks Limited</w:t>
      </w:r>
    </w:p>
    <w:p>
      <w:pPr/>
      <w:r>
        <w:rPr>
          <w:rFonts w:ascii="Helvetica" w:hAnsi="Helvetica" w:cs="Helvetica"/>
          <w:sz w:val="24"/>
          <w:sz-cs w:val="24"/>
          <w:spacing w:val="0"/>
          <w:color w:val="000000"/>
        </w:rPr>
        <w:t xml:space="preserve">* 6.4.16 Ekinops S.A.</w:t>
      </w:r>
    </w:p>
    <w:p>
      <w:pPr/>
      <w:r>
        <w:rPr>
          <w:rFonts w:ascii="Helvetica" w:hAnsi="Helvetica" w:cs="Helvetica"/>
          <w:sz w:val="24"/>
          <w:sz-cs w:val="24"/>
          <w:spacing w:val="0"/>
          <w:color w:val="000000"/>
        </w:rPr>
        <w:t xml:space="preserve">* 6.4.17 Smartoptics Group ASA</w:t>
      </w:r>
    </w:p>
    <w:p>
      <w:pPr/>
      <w:r>
        <w:rPr>
          <w:rFonts w:ascii="Helvetica" w:hAnsi="Helvetica" w:cs="Helvetica"/>
          <w:sz w:val="24"/>
          <w:sz-cs w:val="24"/>
          <w:spacing w:val="0"/>
          <w:color w:val="000000"/>
        </w:rPr>
        <w:t xml:space="preserve">* 6.4.18 Sumitomo Electric Industries, Ltd.</w:t>
      </w:r>
    </w:p>
    <w:p>
      <w:pPr/>
      <w:r>
        <w:rPr>
          <w:rFonts w:ascii="Helvetica" w:hAnsi="Helvetica" w:cs="Helvetica"/>
          <w:sz w:val="24"/>
          <w:sz-cs w:val="24"/>
          <w:spacing w:val="0"/>
          <w:color w:val="000000"/>
        </w:rPr>
        <w:t xml:space="preserve">* 6.4.19 Applied Optoelectronics,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North America Optical Transponder Market Report ScopeThe North America optical transponder market revenue is generated through the sale of optical transponders and related transponder-based transmission equipment across data rates ranging from 100 Gbps to above 800 Gbps, supplied to telecommunication service providers, cloud and hyperscale data center operators, enterprises, government and defense organizations, and other end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North America optical transponder market report is segmented by transmission technology (coherent and non-coherent), data rate (up to 100 Gbps, above 100 Gbps to 400 Gbps, above 400 Gbps to 800 Gbps, and above 800 Gbps), network application (metro, long-haul, data center interconnect, submarine, and other network applications), end-user (telecommunication service providers, cloud and hyperscale data center operators, enterprises, government and defense, and other end-users), and country (United States, Canada, and Mexico). The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Transmission TechnologyCoherent | </w:t>
      </w:r>
    </w:p>
    <w:p>
      <w:pPr/>
      <w:r>
        <w:rPr>
          <w:rFonts w:ascii="Helvetica" w:hAnsi="Helvetica" w:cs="Helvetica"/>
          <w:sz w:val="24"/>
          <w:sz-cs w:val="24"/>
          <w:spacing w:val="0"/>
          <w:color w:val="000000"/>
        </w:rPr>
        <w:t xml:space="preserve">Non-Coherent | </w:t>
      </w:r>
    </w:p>
    <w:p>
      <w:pPr/>
      <w:r>
        <w:rPr>
          <w:rFonts w:ascii="Helvetica" w:hAnsi="Helvetica" w:cs="Helvetica"/>
          <w:sz w:val="24"/>
          <w:sz-cs w:val="24"/>
          <w:spacing w:val="0"/>
          <w:color w:val="000000"/>
        </w:rPr>
        <w:t xml:space="preserve">By Data RateUp to 100 Gbps | </w:t>
      </w:r>
    </w:p>
    <w:p>
      <w:pPr/>
      <w:r>
        <w:rPr>
          <w:rFonts w:ascii="Helvetica" w:hAnsi="Helvetica" w:cs="Helvetica"/>
          <w:sz w:val="24"/>
          <w:sz-cs w:val="24"/>
          <w:spacing w:val="0"/>
          <w:color w:val="000000"/>
        </w:rPr>
        <w:t xml:space="preserve">Above 100 Gbps to 400 Gbps | </w:t>
      </w:r>
    </w:p>
    <w:p>
      <w:pPr/>
      <w:r>
        <w:rPr>
          <w:rFonts w:ascii="Helvetica" w:hAnsi="Helvetica" w:cs="Helvetica"/>
          <w:sz w:val="24"/>
          <w:sz-cs w:val="24"/>
          <w:spacing w:val="0"/>
          <w:color w:val="000000"/>
        </w:rPr>
        <w:t xml:space="preserve">Above 400 Gbps to 800 Gbps | </w:t>
      </w:r>
    </w:p>
    <w:p>
      <w:pPr/>
      <w:r>
        <w:rPr>
          <w:rFonts w:ascii="Helvetica" w:hAnsi="Helvetica" w:cs="Helvetica"/>
          <w:sz w:val="24"/>
          <w:sz-cs w:val="24"/>
          <w:spacing w:val="0"/>
          <w:color w:val="000000"/>
        </w:rPr>
        <w:t xml:space="preserve">Above 800 Gbps | </w:t>
      </w:r>
    </w:p>
    <w:p>
      <w:pPr/>
      <w:r>
        <w:rPr>
          <w:rFonts w:ascii="Helvetica" w:hAnsi="Helvetica" w:cs="Helvetica"/>
          <w:sz w:val="24"/>
          <w:sz-cs w:val="24"/>
          <w:spacing w:val="0"/>
          <w:color w:val="000000"/>
        </w:rPr>
        <w:t xml:space="preserve">By Network ApplicationMetro | </w:t>
      </w:r>
    </w:p>
    <w:p>
      <w:pPr/>
      <w:r>
        <w:rPr>
          <w:rFonts w:ascii="Helvetica" w:hAnsi="Helvetica" w:cs="Helvetica"/>
          <w:sz w:val="24"/>
          <w:sz-cs w:val="24"/>
          <w:spacing w:val="0"/>
          <w:color w:val="000000"/>
        </w:rPr>
        <w:t xml:space="preserve">Long-Haul | </w:t>
      </w:r>
    </w:p>
    <w:p>
      <w:pPr/>
      <w:r>
        <w:rPr>
          <w:rFonts w:ascii="Helvetica" w:hAnsi="Helvetica" w:cs="Helvetica"/>
          <w:sz w:val="24"/>
          <w:sz-cs w:val="24"/>
          <w:spacing w:val="0"/>
          <w:color w:val="000000"/>
        </w:rPr>
        <w:t xml:space="preserve">Data Center Interconnect | </w:t>
      </w:r>
    </w:p>
    <w:p>
      <w:pPr/>
      <w:r>
        <w:rPr>
          <w:rFonts w:ascii="Helvetica" w:hAnsi="Helvetica" w:cs="Helvetica"/>
          <w:sz w:val="24"/>
          <w:sz-cs w:val="24"/>
          <w:spacing w:val="0"/>
          <w:color w:val="000000"/>
        </w:rPr>
        <w:t xml:space="preserve">Submarine | </w:t>
      </w:r>
    </w:p>
    <w:p>
      <w:pPr/>
      <w:r>
        <w:rPr>
          <w:rFonts w:ascii="Helvetica" w:hAnsi="Helvetica" w:cs="Helvetica"/>
          <w:sz w:val="24"/>
          <w:sz-cs w:val="24"/>
          <w:spacing w:val="0"/>
          <w:color w:val="000000"/>
        </w:rPr>
        <w:t xml:space="preserve">Other Network Applications | </w:t>
      </w:r>
    </w:p>
    <w:p>
      <w:pPr/>
      <w:r>
        <w:rPr>
          <w:rFonts w:ascii="Helvetica" w:hAnsi="Helvetica" w:cs="Helvetica"/>
          <w:sz w:val="24"/>
          <w:sz-cs w:val="24"/>
          <w:spacing w:val="0"/>
          <w:color w:val="000000"/>
        </w:rPr>
        <w:t xml:space="preserve">By End-UserTelecommunication Service Providers | </w:t>
      </w:r>
    </w:p>
    <w:p>
      <w:pPr/>
      <w:r>
        <w:rPr>
          <w:rFonts w:ascii="Helvetica" w:hAnsi="Helvetica" w:cs="Helvetica"/>
          <w:sz w:val="24"/>
          <w:sz-cs w:val="24"/>
          <w:spacing w:val="0"/>
          <w:color w:val="000000"/>
        </w:rPr>
        <w:t xml:space="preserve">Cloud and Hyperscale Data Center Operators | </w:t>
      </w:r>
    </w:p>
    <w:p>
      <w:pPr/>
      <w:r>
        <w:rPr>
          <w:rFonts w:ascii="Helvetica" w:hAnsi="Helvetica" w:cs="Helvetica"/>
          <w:sz w:val="24"/>
          <w:sz-cs w:val="24"/>
          <w:spacing w:val="0"/>
          <w:color w:val="000000"/>
        </w:rPr>
        <w:t xml:space="preserve">Enterprises | </w:t>
      </w:r>
    </w:p>
    <w:p>
      <w:pPr/>
      <w:r>
        <w:rPr>
          <w:rFonts w:ascii="Helvetica" w:hAnsi="Helvetica" w:cs="Helvetica"/>
          <w:sz w:val="24"/>
          <w:sz-cs w:val="24"/>
          <w:spacing w:val="0"/>
          <w:color w:val="000000"/>
        </w:rPr>
        <w:t xml:space="preserve">Government and Defense | </w:t>
      </w:r>
    </w:p>
    <w:p>
      <w:pPr/>
      <w:r>
        <w:rPr>
          <w:rFonts w:ascii="Helvetica" w:hAnsi="Helvetica" w:cs="Helvetica"/>
          <w:sz w:val="24"/>
          <w:sz-cs w:val="24"/>
          <w:spacing w:val="0"/>
          <w:color w:val="000000"/>
        </w:rPr>
        <w:t xml:space="preserve">Other End-Users | </w:t>
      </w:r>
    </w:p>
    <w:p>
      <w:pPr/>
      <w:r>
        <w:rPr>
          <w:rFonts w:ascii="Helvetica" w:hAnsi="Helvetica" w:cs="Helvetica"/>
          <w:sz w:val="24"/>
          <w:sz-cs w:val="24"/>
          <w:spacing w:val="0"/>
          <w:color w:val="000000"/>
        </w:rPr>
        <w:t xml:space="preserve">By CountryUnited States | </w:t>
      </w:r>
    </w:p>
    <w:p>
      <w:pPr/>
      <w:r>
        <w:rPr>
          <w:rFonts w:ascii="Helvetica" w:hAnsi="Helvetica" w:cs="Helvetica"/>
          <w:sz w:val="24"/>
          <w:sz-cs w:val="24"/>
          <w:spacing w:val="0"/>
          <w:color w:val="000000"/>
        </w:rPr>
        <w:t xml:space="preserve">Canada | </w:t>
      </w:r>
    </w:p>
    <w:p>
      <w:pPr/>
      <w:r>
        <w:rPr>
          <w:rFonts w:ascii="Helvetica" w:hAnsi="Helvetica" w:cs="Helvetica"/>
          <w:sz w:val="24"/>
          <w:sz-cs w:val="24"/>
          <w:spacing w:val="0"/>
          <w:color w:val="000000"/>
        </w:rPr>
        <w:t xml:space="preserve">Mexico | </w:t>
      </w:r>
    </w:p>
    <w:p>
      <w:pPr/>
      <w:r>
        <w:rPr>
          <w:rFonts w:ascii="Helvetica" w:hAnsi="Helvetica" w:cs="Helvetica"/>
          <w:sz w:val="24"/>
          <w:sz-cs w:val="24"/>
          <w:spacing w:val="0"/>
          <w:color w:val="000000"/>
        </w:rPr>
        <w:t xml:space="preserve">By Transmission Technology | Coherent | </w:t>
      </w:r>
    </w:p>
    <w:p>
      <w:pPr/>
      <w:r>
        <w:rPr>
          <w:rFonts w:ascii="Helvetica" w:hAnsi="Helvetica" w:cs="Helvetica"/>
          <w:sz w:val="24"/>
          <w:sz-cs w:val="24"/>
          <w:spacing w:val="0"/>
          <w:color w:val="000000"/>
        </w:rPr>
        <w:t xml:space="preserve"> | Non-Coherent | </w:t>
      </w:r>
    </w:p>
    <w:p>
      <w:pPr/>
      <w:r>
        <w:rPr>
          <w:rFonts w:ascii="Helvetica" w:hAnsi="Helvetica" w:cs="Helvetica"/>
          <w:sz w:val="24"/>
          <w:sz-cs w:val="24"/>
          <w:spacing w:val="0"/>
          <w:color w:val="000000"/>
        </w:rPr>
        <w:t xml:space="preserve">By Data Rate | Up to 100 Gbps | </w:t>
      </w:r>
    </w:p>
    <w:p>
      <w:pPr/>
      <w:r>
        <w:rPr>
          <w:rFonts w:ascii="Helvetica" w:hAnsi="Helvetica" w:cs="Helvetica"/>
          <w:sz w:val="24"/>
          <w:sz-cs w:val="24"/>
          <w:spacing w:val="0"/>
          <w:color w:val="000000"/>
        </w:rPr>
        <w:t xml:space="preserve"> | Above 100 Gbps to 400 Gbps | </w:t>
      </w:r>
    </w:p>
    <w:p>
      <w:pPr/>
      <w:r>
        <w:rPr>
          <w:rFonts w:ascii="Helvetica" w:hAnsi="Helvetica" w:cs="Helvetica"/>
          <w:sz w:val="24"/>
          <w:sz-cs w:val="24"/>
          <w:spacing w:val="0"/>
          <w:color w:val="000000"/>
        </w:rPr>
        <w:t xml:space="preserve"> | Above 400 Gbps to 800 Gbps | </w:t>
      </w:r>
    </w:p>
    <w:p>
      <w:pPr/>
      <w:r>
        <w:rPr>
          <w:rFonts w:ascii="Helvetica" w:hAnsi="Helvetica" w:cs="Helvetica"/>
          <w:sz w:val="24"/>
          <w:sz-cs w:val="24"/>
          <w:spacing w:val="0"/>
          <w:color w:val="000000"/>
        </w:rPr>
        <w:t xml:space="preserve"> | Above 800 Gbps | </w:t>
      </w:r>
    </w:p>
    <w:p>
      <w:pPr/>
      <w:r>
        <w:rPr>
          <w:rFonts w:ascii="Helvetica" w:hAnsi="Helvetica" w:cs="Helvetica"/>
          <w:sz w:val="24"/>
          <w:sz-cs w:val="24"/>
          <w:spacing w:val="0"/>
          <w:color w:val="000000"/>
        </w:rPr>
        <w:t xml:space="preserve">By Network Application | Metro | </w:t>
      </w:r>
    </w:p>
    <w:p>
      <w:pPr/>
      <w:r>
        <w:rPr>
          <w:rFonts w:ascii="Helvetica" w:hAnsi="Helvetica" w:cs="Helvetica"/>
          <w:sz w:val="24"/>
          <w:sz-cs w:val="24"/>
          <w:spacing w:val="0"/>
          <w:color w:val="000000"/>
        </w:rPr>
        <w:t xml:space="preserve"> | Long-Haul | </w:t>
      </w:r>
    </w:p>
    <w:p>
      <w:pPr/>
      <w:r>
        <w:rPr>
          <w:rFonts w:ascii="Helvetica" w:hAnsi="Helvetica" w:cs="Helvetica"/>
          <w:sz w:val="24"/>
          <w:sz-cs w:val="24"/>
          <w:spacing w:val="0"/>
          <w:color w:val="000000"/>
        </w:rPr>
        <w:t xml:space="preserve"> | Data Center Interconnect | </w:t>
      </w:r>
    </w:p>
    <w:p>
      <w:pPr/>
      <w:r>
        <w:rPr>
          <w:rFonts w:ascii="Helvetica" w:hAnsi="Helvetica" w:cs="Helvetica"/>
          <w:sz w:val="24"/>
          <w:sz-cs w:val="24"/>
          <w:spacing w:val="0"/>
          <w:color w:val="000000"/>
        </w:rPr>
        <w:t xml:space="preserve"> | Submarine | </w:t>
      </w:r>
    </w:p>
    <w:p>
      <w:pPr/>
      <w:r>
        <w:rPr>
          <w:rFonts w:ascii="Helvetica" w:hAnsi="Helvetica" w:cs="Helvetica"/>
          <w:sz w:val="24"/>
          <w:sz-cs w:val="24"/>
          <w:spacing w:val="0"/>
          <w:color w:val="000000"/>
        </w:rPr>
        <w:t xml:space="preserve"> | Other Network Applications | </w:t>
      </w:r>
    </w:p>
    <w:p>
      <w:pPr/>
      <w:r>
        <w:rPr>
          <w:rFonts w:ascii="Helvetica" w:hAnsi="Helvetica" w:cs="Helvetica"/>
          <w:sz w:val="24"/>
          <w:sz-cs w:val="24"/>
          <w:spacing w:val="0"/>
          <w:color w:val="000000"/>
        </w:rPr>
        <w:t xml:space="preserve">By End-User | Telecommunication Service Providers | </w:t>
      </w:r>
    </w:p>
    <w:p>
      <w:pPr/>
      <w:r>
        <w:rPr>
          <w:rFonts w:ascii="Helvetica" w:hAnsi="Helvetica" w:cs="Helvetica"/>
          <w:sz w:val="24"/>
          <w:sz-cs w:val="24"/>
          <w:spacing w:val="0"/>
          <w:color w:val="000000"/>
        </w:rPr>
        <w:t xml:space="preserve"> | Cloud and Hyperscale Data Center Operators | </w:t>
      </w:r>
    </w:p>
    <w:p>
      <w:pPr/>
      <w:r>
        <w:rPr>
          <w:rFonts w:ascii="Helvetica" w:hAnsi="Helvetica" w:cs="Helvetica"/>
          <w:sz w:val="24"/>
          <w:sz-cs w:val="24"/>
          <w:spacing w:val="0"/>
          <w:color w:val="000000"/>
        </w:rPr>
        <w:t xml:space="preserve"> | Enterprises | </w:t>
      </w:r>
    </w:p>
    <w:p>
      <w:pPr/>
      <w:r>
        <w:rPr>
          <w:rFonts w:ascii="Helvetica" w:hAnsi="Helvetica" w:cs="Helvetica"/>
          <w:sz w:val="24"/>
          <w:sz-cs w:val="24"/>
          <w:spacing w:val="0"/>
          <w:color w:val="000000"/>
        </w:rPr>
        <w:t xml:space="preserve"> | Government and Defense | </w:t>
      </w:r>
    </w:p>
    <w:p>
      <w:pPr/>
      <w:r>
        <w:rPr>
          <w:rFonts w:ascii="Helvetica" w:hAnsi="Helvetica" w:cs="Helvetica"/>
          <w:sz w:val="24"/>
          <w:sz-cs w:val="24"/>
          <w:spacing w:val="0"/>
          <w:color w:val="000000"/>
        </w:rPr>
        <w:t xml:space="preserve"> | Other End-Users | </w:t>
      </w:r>
    </w:p>
    <w:p>
      <w:pPr/>
      <w:r>
        <w:rPr>
          <w:rFonts w:ascii="Helvetica" w:hAnsi="Helvetica" w:cs="Helvetica"/>
          <w:sz w:val="24"/>
          <w:sz-cs w:val="24"/>
          <w:spacing w:val="0"/>
          <w:color w:val="000000"/>
        </w:rPr>
        <w:t xml:space="preserve">By Country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w:t>
      </w:r>
    </w:p>
    <w:p>
      <w:pPr/>
      <w:r>
        <w:rPr>
          <w:rFonts w:ascii="Helvetica" w:hAnsi="Helvetica" w:cs="Helvetica"/>
          <w:sz w:val="24"/>
          <w:sz-cs w:val="24"/>
          <w:spacing w:val="0"/>
          <w:color w:val="000000"/>
        </w:rPr>
        <w:t xml:space="preserve">Key Questions Answered in the ReportWhat is the North America optical transponder market size? The North America optical transponder market is projected to expand from USD 3.18 billion in 2026 to USD 4.81 billion by 2031 at an 8.63%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driving demand for optical transponders in North America? AI data center interconnect needs, coherent pluggable upgrades, 5G transport modernization, and fiber backbone deployment support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transmission technology leads optical transponder deployments? Coherent technology held 86.21% share in 2025 and is projected to expand at a 9.12%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data rate is expected to expand fastest? Above 800Gbps is expected to expand at a 12.45% CAGR through 2031 as hyperscale customers prepare for 1.6T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application has the highest growth outlook? Data center interconnect held 31.79% share in 2025 and is expected to expand at an 11.32%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country has the fastest forecast in the region? Mexico is expected to expand at a 9.60% CAGR through 2031, supported by nearshoring investment and cross-border fiber development.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