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Office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[https://www.mordorintelligence.com/industry-reports/office-real-estate-market](https://www.mordorintelligence.com/industry-reports/office-real-estate-market)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1.71 trillion |</w:t>
      </w:r>
    </w:p>
    <w:p>
      <w:pPr/>
      <w:r>
        <w:rPr>
          <w:rFonts w:ascii="Helvetica Light" w:hAnsi="Helvetica Light" w:cs="Helvetica Light"/>
          <w:sz w:val="24"/>
          <w:sz-cs w:val="24"/>
        </w:rPr>
        <w:t xml:space="preserve">| **Projected Forecast (2031)** | USD 1.71 trillion |</w:t>
      </w:r>
    </w:p>
    <w:p>
      <w:pPr/>
      <w:r>
        <w:rPr>
          <w:rFonts w:ascii="Helvetica Light" w:hAnsi="Helvetica Light" w:cs="Helvetica Light"/>
          <w:sz w:val="24"/>
          <w:sz-cs w:val="24"/>
        </w:rPr>
        <w:t xml:space="preserve">| **Growth Rate (CAGR)** | 4.53 %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Office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Share by Building Grade,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1.71 Trillion | </w:t>
      </w:r>
    </w:p>
    <w:p>
      <w:pPr/>
      <w:r>
        <w:rPr>
          <w:rFonts w:ascii="Helvetica Light" w:hAnsi="Helvetica Light" w:cs="Helvetica Light"/>
          <w:sz w:val="24"/>
          <w:sz-cs w:val="24"/>
        </w:rPr>
        <w:t xml:space="preserve">Market Size (2031) | USD 2.14 Trillion | </w:t>
      </w:r>
    </w:p>
    <w:p>
      <w:pPr/>
      <w:r>
        <w:rPr>
          <w:rFonts w:ascii="Helvetica Light" w:hAnsi="Helvetica Light" w:cs="Helvetica Light"/>
          <w:sz w:val="24"/>
          <w:sz-cs w:val="24"/>
        </w:rPr>
        <w:t xml:space="preserve">Growth Rate (2026 - 2031) | 4.53 %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Analysis by Mordor IntelligenceThe Office Real Estate Market size is expected to increase from USD 1.64 trillion in 2025 to USD 1.71 trillion in 2026 and reach USD 2.14 trillion by 2031, growing at a CAGR of 4.53%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widening performance gap defines today’s cycle: ESG-certified towers located in AI-centric corridors and in regions with government headquarters mandates are attracting both capital and tenants, while secondary stock faces double-digit vacancy and refinancing stress. Return-to-office rules have stabilized weekday occupancy at roughly three days per employee, yet occupiers now insist on healthier air systems, superior amenities, and green credentials that satisfy Scope-3 reporting. Institutional investors that marked down holdings in 2023 are selectively re-entering, favoring prime assets in gateway cities where LEED or BREEAM labels deliver rent premiums and regulatory headroom. A record-low construction pipeline since 2024 further tightens prime vacancy, giving landlords pricing power for the first time since 2019. At the same time, a USD 929 billion CMBS maturity wall through 2027 is pushing leveraged owners of Class B and C towers toward distressed sales rather than retrofits, deepening the bifurcation.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building grade, Grade A properties captured 56.94% of the office real estate market share in 2025 and are projected to expand at a 5.27% CAGR through 2031.</w:t>
      </w:r>
    </w:p>
    <w:p>
      <w:pPr/>
      <w:r>
        <w:rPr>
          <w:rFonts w:ascii="Helvetica Light" w:hAnsi="Helvetica Light" w:cs="Helvetica Light"/>
          <w:sz w:val="24"/>
          <w:sz-cs w:val="24"/>
        </w:rPr>
        <w:t xml:space="preserve">* By transaction type, rentals represented 78.64% of 2025 activity in the office real estate industry, while sales transactions are forecast to log a 5.43% CAGR through 2031.</w:t>
      </w:r>
    </w:p>
    <w:p>
      <w:pPr/>
      <w:r>
        <w:rPr>
          <w:rFonts w:ascii="Helvetica Light" w:hAnsi="Helvetica Light" w:cs="Helvetica Light"/>
          <w:sz w:val="24"/>
          <w:sz-cs w:val="24"/>
        </w:rPr>
        <w:t xml:space="preserve">* By end use, IT &amp; ITES tenants accounted for 25.14% of demand in 2025 and are expected to post a 5.54% CAGR through 2031.</w:t>
      </w:r>
    </w:p>
    <w:p>
      <w:pPr/>
      <w:r>
        <w:rPr>
          <w:rFonts w:ascii="Helvetica Light" w:hAnsi="Helvetica Light" w:cs="Helvetica Light"/>
          <w:sz w:val="24"/>
          <w:sz-cs w:val="24"/>
        </w:rPr>
        <w:t xml:space="preserve">* By geography, North America held 26.84% of the 2025 office real estate market, whereas Asia-Pacific is projected to grow at a 5.95%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Office Real Estate Market*Drivers | (~) % IMPACT ON CAGR FORECAST | Geographic Relevance | Impact Timeline | </w:t>
      </w:r>
    </w:p>
    <w:p>
      <w:pPr/>
      <w:r>
        <w:rPr>
          <w:rFonts w:ascii="Helvetica Light" w:hAnsi="Helvetica Light" w:cs="Helvetica Light"/>
          <w:sz w:val="24"/>
          <w:sz-cs w:val="24"/>
        </w:rPr>
        <w:t xml:space="preserve">Flight-to-quality and mandated returns lift demand for ESG-prime assets | +1.2% | Global gateway cities in North America, Europe, and Asia-Pacific | Medium term (2-4 years) | </w:t>
      </w:r>
    </w:p>
    <w:p>
      <w:pPr/>
      <w:r>
        <w:rPr>
          <w:rFonts w:ascii="Helvetica Light" w:hAnsi="Helvetica Light" w:cs="Helvetica Light"/>
          <w:sz w:val="24"/>
          <w:sz-cs w:val="24"/>
        </w:rPr>
        <w:t xml:space="preserve">Record-low new construction tightens prime vacancies | +0.9% | North America and core European &amp; Asia-Pacific markets | Short term (≤ 2 years) | </w:t>
      </w:r>
    </w:p>
    <w:p>
      <w:pPr/>
      <w:r>
        <w:rPr>
          <w:rFonts w:ascii="Helvetica Light" w:hAnsi="Helvetica Light" w:cs="Helvetica Light"/>
          <w:sz w:val="24"/>
          <w:sz-cs w:val="24"/>
        </w:rPr>
        <w:t xml:space="preserve">Easing rates and repricing draw institutions back to core offices | +0.8% | North America and Europe | Medium term (2-4 years) | </w:t>
      </w:r>
    </w:p>
    <w:p>
      <w:pPr/>
      <w:r>
        <w:rPr>
          <w:rFonts w:ascii="Helvetica Light" w:hAnsi="Helvetica Light" w:cs="Helvetica Light"/>
          <w:sz w:val="24"/>
          <w:sz-cs w:val="24"/>
        </w:rPr>
        <w:t xml:space="preserve">AI and semiconductor corridors spur large-block leasing | +0.7% | Silicon Valley, Austin, Phoenix, Bengaluru, Shenzhen | Long term (≥ 4 years) | </w:t>
      </w:r>
    </w:p>
    <w:p>
      <w:pPr/>
      <w:r>
        <w:rPr>
          <w:rFonts w:ascii="Helvetica Light" w:hAnsi="Helvetica Light" w:cs="Helvetica Light"/>
          <w:sz w:val="24"/>
          <w:sz-cs w:val="24"/>
        </w:rPr>
        <w:t xml:space="preserve">Scope-3 deadlines accelerate green retrofits | +0.6% | EU, United States, Canada | Long term (≥ 4 years) | </w:t>
      </w:r>
    </w:p>
    <w:p>
      <w:pPr/>
      <w:r>
        <w:rPr>
          <w:rFonts w:ascii="Helvetica Light" w:hAnsi="Helvetica Light" w:cs="Helvetica Light"/>
          <w:sz w:val="24"/>
          <w:sz-cs w:val="24"/>
        </w:rPr>
        <w:t xml:space="preserve">GCC headquarters mandates add Middle-East trophy demand | +0.5% | Riyadh, Dubai, Abu Dhabi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market competition remains moderately fragmented: the top-10 global landlords control about 18% of investable stock, leaving the balance with regional REITs, pension funds, and private owners. Strategic consolidation targets quality; Rithm Capital’s USD 1.6 billion buyout of Paramount Group and BlackRock’s USD 7.3 billion ElmTree acquisition capture stabilized downtown icons with long-dated leases. Distressed portfolios change hands at deep discounts, creating scale opportunities for capital-rich buyers who can fund energy retrofits and tenant improvements.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PropTech now underpins competitive advantage in the office real estate market. REITs and private vehicles deploy IoT sensors, predictive maintenance, and analytics platforms such as CBRE’s Adaptive Spaces and JLL’s Building Engines to lower operating costs by 12–18% and provide real-time energy dashboards that satisfy ESG reporting demands. Smaller owners harness flexible-leasing technology to compete on speed and customization, winning start-ups and project-based occupiers seeking 6–24-month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 favors the well-capitalized. The EU’s CSRD and potential SEC climate disclosures increase reporting complexity and retrofit spend, pressuring thinly capitalized landlords to divest non-compliant stock. Meanwhile, sovereign wealth funds and Canadian pensions allocate fresh capital to net-zero-ready towers, pushing up land values in core precincts. Investors able to combine balance-sheet heft with technology integration stand best placed to capture out-sized returns over the next cycle.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Office Real Estate Industry Leaders* CBRE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Jones Lang LaSalle IP,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Cushman &amp; Wakefield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Knight Frank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office real estate market as the total dollar value of newly built or substantially refurbished multi-tenant buildings and single-tenant offices that are offered for lease or sale across Grade A, B, and C categories. Transactions analyzed include shell-and-core disposals as well as stabilized income-producing assets that change hands during the base year.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include owner-occupied headquarters, co-working service revenue streams, and stand-alone property-management or brokerage fees, which lie outside our market boundary.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Building Grade* Grade A</w:t>
      </w:r>
    </w:p>
    <w:p>
      <w:pPr/>
      <w:r>
        <w:rPr>
          <w:rFonts w:ascii="Helvetica Light" w:hAnsi="Helvetica Light" w:cs="Helvetica Light"/>
          <w:sz w:val="24"/>
          <w:sz-cs w:val="24"/>
        </w:rPr>
        <w:t xml:space="preserve">* Grade B</w:t>
      </w:r>
    </w:p>
    <w:p>
      <w:pPr/>
      <w:r>
        <w:rPr>
          <w:rFonts w:ascii="Helvetica Light" w:hAnsi="Helvetica Light" w:cs="Helvetica Light"/>
          <w:sz w:val="24"/>
          <w:sz-cs w:val="24"/>
        </w:rPr>
        <w:t xml:space="preserve">* Grade 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Transaction Type* Rental</w:t>
      </w:r>
    </w:p>
    <w:p>
      <w:pPr/>
      <w:r>
        <w:rPr>
          <w:rFonts w:ascii="Helvetica Light" w:hAnsi="Helvetica Light" w:cs="Helvetica Light"/>
          <w:sz w:val="24"/>
          <w:sz-cs w:val="24"/>
        </w:rPr>
        <w:t xml:space="preserv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Information Technology (IT &amp; ITES)</w:t>
      </w:r>
    </w:p>
    <w:p>
      <w:pPr/>
      <w:r>
        <w:rPr>
          <w:rFonts w:ascii="Helvetica Light" w:hAnsi="Helvetica Light" w:cs="Helvetica Light"/>
          <w:sz w:val="24"/>
          <w:sz-cs w:val="24"/>
        </w:rPr>
        <w:t xml:space="preserve">* BFSI (Banking, Financial Services and Insurance)</w:t>
      </w:r>
    </w:p>
    <w:p>
      <w:pPr/>
      <w:r>
        <w:rPr>
          <w:rFonts w:ascii="Helvetica Light" w:hAnsi="Helvetica Light" w:cs="Helvetica Light"/>
          <w:sz w:val="24"/>
          <w:sz-cs w:val="24"/>
        </w:rPr>
        <w:t xml:space="preserve">* Business Consulting &amp; Professional Services</w:t>
      </w:r>
    </w:p>
    <w:p>
      <w:pPr/>
      <w:r>
        <w:rPr>
          <w:rFonts w:ascii="Helvetica Light" w:hAnsi="Helvetica Light" w:cs="Helvetica Light"/>
          <w:sz w:val="24"/>
          <w:sz-cs w:val="24"/>
        </w:rPr>
        <w:t xml:space="preserve">* Other Services (Retail, Lifescience, Energy, Legal)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office real estate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office real estate market size is USD 1.71 trillion in 2026 and is expected to grow at a 4.53%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expand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5.95% CAGR, driven by strong absorption in China, India, and Japan.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Grade A towers outperforming other building 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Tenants and investors favor ESG-certified, amenity-rich space, giving Grade A assets rent premiums and easier financing.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fueling recent office property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Repricing of distressed assets and calmer interest rates have reopened capital markets, attracting institutional and opportunistic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hybrid work influence future space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Desk-sharing supported by occupancy sensors cuts space per employee, but high-growth sectors like AI often offset reductions by leasing collaborative, high-power floors in prime buildings.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