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Ceramics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https://www.mordorintelligence.com/industry-reports/optical-ceramics-market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Ceramics Market Size and ShareMarket OverviewStudy Period | 2020 - 2031 | </w:t>
      </w:r>
    </w:p>
    <w:p>
      <w:pPr/>
      <w:r>
        <w:rPr>
          <w:rFonts w:ascii="Helvetica" w:hAnsi="Helvetica" w:cs="Helvetica"/>
          <w:sz w:val="24"/>
          <w:sz-cs w:val="24"/>
          <w:spacing w:val="0"/>
          <w:color w:val="000000"/>
        </w:rPr>
        <w:t xml:space="preserve">Market Size (2026) | USD 0.7 Billion | </w:t>
      </w:r>
    </w:p>
    <w:p>
      <w:pPr/>
      <w:r>
        <w:rPr>
          <w:rFonts w:ascii="Helvetica" w:hAnsi="Helvetica" w:cs="Helvetica"/>
          <w:sz w:val="24"/>
          <w:sz-cs w:val="24"/>
          <w:spacing w:val="0"/>
          <w:color w:val="000000"/>
        </w:rPr>
        <w:t xml:space="preserve">Market Size (2031) | USD 1.25 Billion | </w:t>
      </w:r>
    </w:p>
    <w:p>
      <w:pPr/>
      <w:r>
        <w:rPr>
          <w:rFonts w:ascii="Helvetica" w:hAnsi="Helvetica" w:cs="Helvetica"/>
          <w:sz w:val="24"/>
          <w:sz-cs w:val="24"/>
          <w:spacing w:val="0"/>
          <w:color w:val="000000"/>
        </w:rPr>
        <w:t xml:space="preserve">Growth Rate (2026 - 2031) | 12.38 %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Ceramics Market Analysis by Mordor IntelligenceThe optical ceramics market size was valued at USD 620 million in 2025 and estimated to grow from USD 696.8 million in 2026 to reach USD 1.25 billion by 2031, at a CAGR of 12.38% during the forecast period (2026-2031). Strong defense procurement for lighter, infrared-transparent armor, rising use of polycrystalline YAG in surgical lasers, and stricter performance demands in extreme-temperature energy systems supported this momentum. Production innovations such as â€˜Clean HIPâ€™ and vacuum sintering lifted optical clarity while lowering defect rates, encouraging wider use in large-area components. Meanwhile, intellectual-property consolidation and persistently high yield losses for parts above 120 mm diameters limited new entrants, keeping the field moderately concentrated. The intersection of defense, medical, and energy requirements accelerated material transfer across sectors, compressing typical innovation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material type, YAG led with 29.85% of the optical ceramics market share in 2025; ALON is projected to expand at a 12.86% CAGR to 2031. </w:t>
      </w:r>
    </w:p>
    <w:p>
      <w:pPr/>
      <w:r>
        <w:rPr>
          <w:rFonts w:ascii="Helvetica" w:hAnsi="Helvetica" w:cs="Helvetica"/>
          <w:sz w:val="24"/>
          <w:sz-cs w:val="24"/>
          <w:spacing w:val="0"/>
          <w:color w:val="000000"/>
        </w:rPr>
        <w:t xml:space="preserve">* By fabrication method, hot isostatic pressing held 40.70% of 2025 revenue; vacuum sintering is forecast to grow at an 10.96% CAGR through 2031. </w:t>
      </w:r>
    </w:p>
    <w:p>
      <w:pPr/>
      <w:r>
        <w:rPr>
          <w:rFonts w:ascii="Helvetica" w:hAnsi="Helvetica" w:cs="Helvetica"/>
          <w:sz w:val="24"/>
          <w:sz-cs w:val="24"/>
          <w:spacing w:val="0"/>
          <w:color w:val="000000"/>
        </w:rPr>
        <w:t xml:space="preserve">* By product type, polycrystalline grades accounted for 67.90% share of the optical ceramics market size in 2025, while monocrystalline variants record a 9.56% CAGR outlook to 2031. </w:t>
      </w:r>
    </w:p>
    <w:p>
      <w:pPr/>
      <w:r>
        <w:rPr>
          <w:rFonts w:ascii="Helvetica" w:hAnsi="Helvetica" w:cs="Helvetica"/>
          <w:sz w:val="24"/>
          <w:sz-cs w:val="24"/>
          <w:spacing w:val="0"/>
          <w:color w:val="000000"/>
        </w:rPr>
        <w:t xml:space="preserve">* By application, transparent armor captured 34.82% optical ceramics market share in 2025; laser and lighting components advance at 12.88% CAGR to 2031. </w:t>
      </w:r>
    </w:p>
    <w:p>
      <w:pPr/>
      <w:r>
        <w:rPr>
          <w:rFonts w:ascii="Helvetica" w:hAnsi="Helvetica" w:cs="Helvetica"/>
          <w:sz w:val="24"/>
          <w:sz-cs w:val="24"/>
          <w:spacing w:val="0"/>
          <w:color w:val="000000"/>
        </w:rPr>
        <w:t xml:space="preserve">* By end-use industry, aerospace and defense dominated with 39.60% revenue in 2025; healthcare is set to grow at 12.29% CAGR through 2031. </w:t>
      </w:r>
    </w:p>
    <w:p>
      <w:pPr/>
      <w:r>
        <w:rPr>
          <w:rFonts w:ascii="Helvetica" w:hAnsi="Helvetica" w:cs="Helvetica"/>
          <w:sz w:val="24"/>
          <w:sz-cs w:val="24"/>
          <w:spacing w:val="0"/>
          <w:color w:val="000000"/>
        </w:rPr>
        <w:t xml:space="preserve">* By geography, Asia-Pacific commanded 37.90% of 2025 revenue; the Middle East and Africa post the quickest 10.98% CAGR between 2026-2031.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Ceramics Market*Driver | (~) % Impact on CAGR Forecast | Geographic Relevance | Impact Timeline | </w:t>
      </w:r>
    </w:p>
    <w:p>
      <w:pPr/>
      <w:r>
        <w:rPr>
          <w:rFonts w:ascii="Helvetica" w:hAnsi="Helvetica" w:cs="Helvetica"/>
          <w:sz w:val="24"/>
          <w:sz-cs w:val="24"/>
          <w:spacing w:val="0"/>
          <w:color w:val="000000"/>
        </w:rPr>
        <w:t xml:space="preserve">Rapid adoption of infrared transparent armor in next-gen combat vehicles | 3.2% | North America | Medium term (2-4 years) | </w:t>
      </w:r>
    </w:p>
    <w:p>
      <w:pPr/>
      <w:r>
        <w:rPr>
          <w:rFonts w:ascii="Helvetica" w:hAnsi="Helvetica" w:cs="Helvetica"/>
          <w:sz w:val="24"/>
          <w:sz-cs w:val="24"/>
          <w:spacing w:val="0"/>
          <w:color w:val="000000"/>
        </w:rPr>
        <w:t xml:space="preserve">Surge in UV-LED and laser-based medical devices demanding polycrystalline YAG optics | 2.8% | Asia-Pacific | Medium term (2-4 years) | </w:t>
      </w:r>
    </w:p>
    <w:p>
      <w:pPr/>
      <w:r>
        <w:rPr>
          <w:rFonts w:ascii="Helvetica" w:hAnsi="Helvetica" w:cs="Helvetica"/>
          <w:sz w:val="24"/>
          <w:sz-cs w:val="24"/>
          <w:spacing w:val="0"/>
          <w:color w:val="000000"/>
        </w:rPr>
        <w:t xml:space="preserve">Growth of high-temperature gas-turbine inspections that require sapphire windows | 1.9% | Europe | Long term (â‰¥ 4 years) | </w:t>
      </w:r>
    </w:p>
    <w:p>
      <w:pPr/>
      <w:r>
        <w:rPr>
          <w:rFonts w:ascii="Helvetica" w:hAnsi="Helvetica" w:cs="Helvetica"/>
          <w:sz w:val="24"/>
          <w:sz-cs w:val="24"/>
          <w:spacing w:val="0"/>
          <w:color w:val="000000"/>
        </w:rPr>
        <w:t xml:space="preserve">Spacecraft light-weighting drives ALON/spinel viewports in LEO satellites | 1.7% | North America and Asia-Pacific | Long term (â‰¥ 4 years) | </w:t>
      </w:r>
    </w:p>
    <w:p>
      <w:pPr/>
      <w:r>
        <w:rPr>
          <w:rFonts w:ascii="Helvetica" w:hAnsi="Helvetica" w:cs="Helvetica"/>
          <w:sz w:val="24"/>
          <w:sz-cs w:val="24"/>
          <w:spacing w:val="0"/>
          <w:color w:val="000000"/>
        </w:rPr>
        <w:t xml:space="preserve">Large-area Li-ion battery pack lasers using ceramic flash lamps | 1.5% | Asia-Pacific | Short term (â‰¤ 2 years) | </w:t>
      </w:r>
    </w:p>
    <w:p>
      <w:pPr/>
      <w:r>
        <w:rPr>
          <w:rFonts w:ascii="Helvetica" w:hAnsi="Helvetica" w:cs="Helvetica"/>
          <w:sz w:val="24"/>
          <w:sz-cs w:val="24"/>
          <w:spacing w:val="0"/>
          <w:color w:val="000000"/>
        </w:rPr>
        <w:t xml:space="preserve">Military modernization budgets earmarked for airborne IR sensors with ceramic domes | 2.3% | Middle East and Africa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Adoption of IR-Transparent Armor in Next-Gen Combat VehiclesDefense programs integrated ALON and spinel windows that cut weight up to 60% versus laminated glass while maintaining ballistic stop levels, enhancing fuel efficiency, and crew mobility. Components grew to panel sizes of eight square feet, making full-vehicle glazing practical. Machine-learning-guided stacking schemes lowered thickness 22.2% yet raised transmission 42.3%, proving the conceptâ€™s scalability. Supply contracts from the U.S. Army accelerated the qualification of larger parts and shortened testing cycles. As a result, procurement agencies issued multi-year orders that locked in volume and stabilized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UV-LED and Laser-Based Medical Devices Demanding Polycrystalline YAG OpticsMinimally invasive therapies increasingly relied on Ho:YAG and Nd:YAG lasers whose wavelengths are strongly absorbed by water, ensuring precise tissue removal with limited collateral heating.[1]Coherent Corporation, â€œWhat Is a Holmium Laser?,â€ coherent.com Polycrystalline YAG offered improved thermal conductivity over glass, enabling higher pulse-energy operation and longer component lifetimes. Process innovations delivered 83.7% transmittance at 1064 nm, lifting wall-plug efficiency and facilitating portable surgical platforms well suited to outpatient clinics. Asian contract-device makers expanded production, accelerating regional adoption curves.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of High-Temperature Gas-Turbine Inspections That Require Sapphire WindowsEnergy producers installed sapphire viewports that resisted 2,000 Â°C flue-gas streams and harsh pressure regimes, enabling real-time combustion imaging without shutdown. Predictive-maintenance platforms linked to the sensors cut unplanned downtime by 45%, translating to major fuel savings in combined-cycle installations. Turbine OEMs specified sapphire exclusively for new inspection ports after trials showed zero crack propagation across two-year service intervals, validating lifetime cost benefits over glass alternatives.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Spacecraft Light-Weighting Drives ALON/Spinel Viewports in LEO SatellitesSatellite primes replaced quartz with ALON windows, trimming mass 40% and allowing larger apertures within fixed launch budgets. ALONâ€™s 300 MPa flexural strength endured launch vibration and micrometeoroid impacts, while radiation tolerance preserved optical throughput over multiple orbits. Commercial constellation operators adopted the material to meet aggressive cost-per-kilogram thresholds, prompting component vendors to scale production lines in Japan and the United 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Ceramics Market*Restraint | (~) % Impact on CAGR Forecast | Geographic Relevance | Impact Timeline | </w:t>
      </w:r>
    </w:p>
    <w:p>
      <w:pPr/>
      <w:r>
        <w:rPr>
          <w:rFonts w:ascii="Helvetica" w:hAnsi="Helvetica" w:cs="Helvetica"/>
          <w:sz w:val="24"/>
          <w:sz-cs w:val="24"/>
          <w:spacing w:val="0"/>
          <w:color w:val="000000"/>
        </w:rPr>
        <w:t xml:space="preserve">Capex-intensive hot-isostatic pressing lines limiting emerging-market entry | -1.4% | Global, with higher impact in Asia-Pacific, and Middle East and Africa | Long term (â‰¥ 4 years) | </w:t>
      </w:r>
    </w:p>
    <w:p>
      <w:pPr/>
      <w:r>
        <w:rPr>
          <w:rFonts w:ascii="Helvetica" w:hAnsi="Helvetica" w:cs="Helvetica"/>
          <w:sz w:val="24"/>
          <w:sz-cs w:val="24"/>
          <w:spacing w:val="0"/>
          <w:color w:val="000000"/>
        </w:rPr>
        <w:t xml:space="preserve">Yield losses (&gt;15 %) above 120 mm diameter keep unit costs uncompetitive vs. glass | -1.8% | Global | Medium term (2-4 years) | </w:t>
      </w:r>
    </w:p>
    <w:p>
      <w:pPr/>
      <w:r>
        <w:rPr>
          <w:rFonts w:ascii="Helvetica" w:hAnsi="Helvetica" w:cs="Helvetica"/>
          <w:sz w:val="24"/>
          <w:sz-cs w:val="24"/>
          <w:spacing w:val="0"/>
          <w:color w:val="000000"/>
        </w:rPr>
        <w:t xml:space="preserve">Limited transmittance in the 5-7 Âµm band constrains long-wave IR adoption | -0.8% | North America and Europe | Short term (â‰¤ 2 years) | </w:t>
      </w:r>
    </w:p>
    <w:p>
      <w:pPr/>
      <w:r>
        <w:rPr>
          <w:rFonts w:ascii="Helvetica" w:hAnsi="Helvetica" w:cs="Helvetica"/>
          <w:sz w:val="24"/>
          <w:sz-cs w:val="24"/>
          <w:spacing w:val="0"/>
          <w:color w:val="000000"/>
        </w:rPr>
        <w:t xml:space="preserve">IP consolidationâ€”over 120 active U.S. patents block new formulations | -1.2% | Global, with higher impact in emerging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Capex-Intensive Hot-Isostatic-Pressing Lines Limiting Emerging-Market EntryCommercial HIP installations often exceeded USD 15 million, creating high financial thresholds for newcomers. Expertise in pressure-vessel design and controlled-atmosphere operations remained concentrated in mature industrial regions, widening the capability gap. Upgrades such as â€˜Clean HIPâ€™ and â€˜Steered Coolingâ€™ improved performance but also raised capital intensity, reinforcing incumbent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Yield Losses Above 15% for 120 mm-Diameter Components Keep Unit Costs Uncompetitive vs. GlassLarge optical ceramic blanks suffered micro-crack formation and non-uniform densification, pushing rejection rates past 15%. Each discarded part consumed significant energy and long furnace cycles, inflating the cost of goods. Vacuum-sintered alumina reached 99% relative density in pilot runs, yet scaling these gains to mass production remained elusive, delaying parity with glass in price-sensitive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Ceramics Market Segment AnalysisBy Material Type:YAG Sustained Lead as ALON AcceleratedYAG retained 29.85% dominance within the optical ceramics market in 2025 through versatility across industrial lasers, scintillators, and sensing optics. Multiple sintering refinements elevated its 1064 nm transmittance, improving beam quality in 10 kW-class laser cutters. ALON posted a 12.86% CAGR by fulfilling aggressive defense and space specifications for lightweight yet ballistic-grade windows. Sapphire maintained energy-sector loyalty thanks to unmatched hardness (Mohs 9) and 2,000 Â°C thermal stability. Spinelâ€™s cubic lattice removed birefringence, supporting airborne imaging. Yttria expanded steadily for plasma-etch chamber liners in semiconductor fabs. Emerging lutetium-based garnets showed promise in next-generation scintillators.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ceramics market size for YAG systems is projected to rise at 11.38% annually, while ALON share gains are forecast to elevate total industry value without materially eroding YAG volumes. Supply chains now routinely dual-source YAG and ALON to tailor mixed-material assemblies, reflecting design optimization rather than strict substitution.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Fabrication Method:HIP Dominated, While Vacuum Sintering Gained MomentumHot isostatic pressing secured 40.70% revenue in 2025 by producing near-theoretical-density parts with low porosity, essential for ballistic armor and high-power optics. Process refinements like gas-purified chambers raised yield in large panels, reinforcing HIPâ€™s economic edge in premium products. Vacuum sintering, however, posted the highest 10.96% CAGR outlook by delivering 70% transmittance in transparent alumina at lower unit energy, appealing to cost-sensitive sectors. Solid-state sintering kept relevance for simpler geometries, while additive manufacturing joined the â€œOthersâ€ category as researchers printed gradient-index elements.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Through 2031, the optical ceramics market share for HIP may slip modestly as vacuum sintering scales, yet overall output from HIP furnaces will climb because larger armor sets drive volume. Hybrid flows that combine vacuum pre-sintering with final HIP densification are under evaluation to balance clarity and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 Type:Polycrystalline Volume Leadership and Monocrystalline GrowthPolycrystalline grades held 67.90% of 2025 revenue by offering higher dopant loading, easier net-shape forming, and sound mechanical strength. Improved powder dispersion and two-step sintering lifted transparency near single-crystal levels, broadening suitability for armor and industrial lasers. Monocrystalline optics grew at a 9.56% CAGR, driven by superior scintillation performance in medical detectors and deep trap depths beneficial to high-energy physics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ceramics market size for polycrystalline components is forecast to grow at significant pace by 2031, as defense and laser verticals expand. Monocrystalline revenue is set to outpace polycrystalline in percentage terms, aided by maturing crystal-pulling furnaces that trim scrap and cycle 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Application:Transparent Armor Led while Laser Components SurgedTransparent armor contributed 34.82% optical ceramics market share in 2025, reflecting global vehicle-fleet upgrades. Panel weight reduction of up to 60% allowed designers to maintain ballistic rating yet cut fuel consumption and increase payload. Laser and lighting parts posted the strongest 12.88% CAGR outlook as ceramic gain media enabled higher-power industrial and surgical systems. Imaging optics, medical diagnostics, and power-plant viewports created steady mid-single-digit expansion. Energy-sector optics remained niche but important for extreme-temperature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2031, laser components are expected to close the revenue gap with armor, underpinned by demand for semiconductor wafer cutting, additive manufacturing, and outpatient surgery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Industry:Aerospace and Defense Held Sway, Healthcare AcceleratedAerospace and defense owned 39.60% of 2025 revenue, leveraging ceramicsâ€™ survival in hypersonic flight, missile domes, and armored glazing. Programs for airborne IR sensors and LEO satellite viewports locked multi-year offtake for ALON and spinel. Healthcare showed the fastest 12.29% CAGR as surgeons adopted ceramic-based lasers for minimally invasive procedures, and diagnostics embraced higher-resolution scintillators.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Energy, consumer electronics, and industrial machinery applied optical ceramics for robustness under heat, wear, and chemical attack, each posting mid-single-digit growth. Research laboratories chose the materials for stability in high-precision instruments, rounding out demand.</w:t>
      </w:r>
    </w:p>
    <w:p>
      <w:pPr/>
      <w:r>
        <w:rPr>
          <w:rFonts w:ascii="Helvetica" w:hAnsi="Helvetica" w:cs="Helvetica"/>
          <w:sz w:val="24"/>
          <w:sz-cs w:val="24"/>
          <w:spacing w:val="0"/>
          <w:color w:val="000000"/>
        </w:rPr>
        <w:t xml:space="preserve">Geography AnalysisAPAC Optical Ceramics MarketAsia-Pacific led the optical ceramics market with 37.90% 2025 revenue thanks to Chinaâ€™s rapid battery-pack laser expansion and Japanâ€™s focus on light-weighted satellite optics. South Korea and Taiwan added fabs specializing in ceramic flash lamps and sensor windows. Government initiatives such as Japanâ€™s Fine Ceramics Roadmap 2050 mapped long-range technology needs.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Optical Ceramics MarketNorth America leveraged strong defense spending, particularly U.S. programs upgrading transparent armor and laser systems, maintaining a sizeable share. Collaborative clusters involving Sandia National Laboratories and private industry shortened development cycles by replacing trial-and-error with physics-based modeling. Canada and Mexico contributed specialized production and R&amp;D, securing resiliency in North American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Optical Ceramics MarketThe Middle East and Africa recorded the fastest 10.98% CAGR, with Saudi Arabia and the United Arab Emirates funding airborne IR sensor domes built from ALON. Israelâ€™s Ceramic and Silicate Institute enabled regional know-how transfer, fostering domestic ballistic-grade armor developments.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South America Optical Ceramics MarketEurope retained critical expertise in high-temperature sapphire windows for turbines and precision optics for scientific research. Germany and the United Kingdom drove product innovation, while the Nordic cluster pioneered hydrogen-fired kilns to cut carbon footprints in ceramic processing. South America grew from a small base as Brazil and Argentina introduced sapphire inspection ports in refining and healthcare sectors, leveraging local mineral resources.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oversight for optical ceramics is shaped by chemical-substance compliance in end products, technical standards used for qualification, and trade measures affecting semiconductor-linked ceramics and equipment. In the European Union, Commission Delegated Directive (EU) 2025/2363 (published September 2025) updates exemptions under RoHS for lead in ceramic and glass applications (including entries 7(c)-I, 7(c)-V, and 7(c)-VI) and requires Member States to adopt compliance provisions by 30 June 2026, with various exemption expiries running through 31 December 2027. This sets a defined transition window for suppliers of ceramic windows, domes, and optoelectronic subcomponents to revalidate materials and declarations for OEM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global qualification and cross-border acceptance, suppliers typically align with internationally recognized test and specification frameworks. This includes ISO standards that govern optical ceramic-related properties and performance validation across optoelectronics and LED-linked use cases, as well as IEC templates such as IEC 62007-1:2015+AMD1:2022 for semiconductor optoelectronic devices used in fiber optic systems. In the United States, a January 2026 presidential action established a 25% ad valorem duty for specific imported semiconductor products and manufacturing equipment effective 15 January 2026, with carve-outs tied to R&amp;D and domestic supply chain strengthening. Those changes can influence sourcing decisions for ceramic components shipped as part of semiconductor tools and optoelectronic device ecosystems.</w:t>
      </w:r>
    </w:p>
    <w:p>
      <w:pPr/>
      <w:r>
        <w:rPr>
          <w:rFonts w:ascii="Helvetica" w:hAnsi="Helvetica" w:cs="Helvetica"/>
          <w:sz w:val="24"/>
          <w:sz-cs w:val="24"/>
          <w:spacing w:val="0"/>
          <w:color w:val="000000"/>
        </w:rPr>
        <w:t xml:space="preserve">Value Chain AnalysisThe optical ceramics value chain starts with high-purity precursors and powders, notably alumina and yttria families for YAG and related ceramics, plus oxynitride and spinel-grade inputs. It then moves through powder conditioning, forming (including slip casting and cold isostatic pressing), densification (vacuum sintering and hot isostatic pressing), and downstream finishing. Post-densification steps, such as precision CNC grinding, lapping, and multi-stage polishing, are major cost and yield determinants because optical transmission and surface quality targets tighten as parts scale beyond large diameters and large-area panels.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Midstream manufacturing is concentrated among suppliers that control densification know-how and finishing capacity, while downstream demand is pulled by defense glazing and sensor windows, medical laser optics, and semiconductor-adjacent components. In these use cases, ceramics also compete with specialty glass-ceramics. Channel partners commonly include system integrators and OEMs in aerospace and defense, healthcare laser platforms, and semiconductor equipment ecosystems that require qualified materials and repeatable lot-to-lot properties. Bottlenecks center on capex-heavy HIP lines, high scrap risk on large blanks, and tight tolerances in polishing and inspection, which supports the position of vertically integrated producers and specialist finishing houses.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ceramics market exhibited moderate concentration. Surmet Corporation and CeramTec GmbH led transparent armor and medical laser components, respectively, through proprietary sintering formulas and vertical integration. Surmet scaled ALON panel manufacture to eight-square-foot sheets under a USD 25 million U.S. DoD contract. CeramTec introduced enhanced-thermal-management YAG parts, reinforcing its medical franchise. Coherent Corp. unified diode and ceramic gain media assets, releasing 50W pump lasers that trimmed the bill of materials for industrial fiber lasers.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CoorsTek invested USD 30 million into Colorado capacity to produce larger transparent armor blanks, pursuing economies of scale. Schott AG debuted ceramic-glass composites blending thermal stability with manufacturability, targeting harsh-environment avionics. Saint-Gobainâ€™s acquisition of Monofrax expanded fused refractory capabilities for extreme-heat optics. Additive-manufacturing start-ups explored gradient-index optics that sidestep some of the 120 plus active U.S. patents blocking classical formulations.[4]Google Patents, â€œCeramic Coating Comprising Yttrium Resistant to Reducing Plasma,â€ patents.google.com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centered on yield-improvement, IP defense, and vertical collaboration. Suppliers diversified rare-earth sources to hedge volatility, while joint ventures with furnace builders reduced commissioning times in emerging regions. The optical ceramics market continued to balance consolidation in defense applications against an expanding ecosystem of niche healthcare and energy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Ceramics Industry Leaders* Surmet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CoorsTek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CeramTec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Schott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Kyocera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Ceramics Market Companies Covered in this Report* Surmet Corporation</w:t>
      </w:r>
    </w:p>
    <w:p>
      <w:pPr/>
      <w:r>
        <w:rPr>
          <w:rFonts w:ascii="Helvetica" w:hAnsi="Helvetica" w:cs="Helvetica"/>
          <w:sz w:val="24"/>
          <w:sz-cs w:val="24"/>
          <w:spacing w:val="0"/>
          <w:color w:val="000000"/>
        </w:rPr>
        <w:t xml:space="preserve">* CoorsTek Inc.</w:t>
      </w:r>
    </w:p>
    <w:p>
      <w:pPr/>
      <w:r>
        <w:rPr>
          <w:rFonts w:ascii="Helvetica" w:hAnsi="Helvetica" w:cs="Helvetica"/>
          <w:sz w:val="24"/>
          <w:sz-cs w:val="24"/>
          <w:spacing w:val="0"/>
          <w:color w:val="000000"/>
        </w:rPr>
        <w:t xml:space="preserve">* CeramTec GmbH</w:t>
      </w:r>
    </w:p>
    <w:p>
      <w:pPr/>
      <w:r>
        <w:rPr>
          <w:rFonts w:ascii="Helvetica" w:hAnsi="Helvetica" w:cs="Helvetica"/>
          <w:sz w:val="24"/>
          <w:sz-cs w:val="24"/>
          <w:spacing w:val="0"/>
          <w:color w:val="000000"/>
        </w:rPr>
        <w:t xml:space="preserve">* CeraNova Corporation</w:t>
      </w:r>
    </w:p>
    <w:p>
      <w:pPr/>
      <w:r>
        <w:rPr>
          <w:rFonts w:ascii="Helvetica" w:hAnsi="Helvetica" w:cs="Helvetica"/>
          <w:sz w:val="24"/>
          <w:sz-cs w:val="24"/>
          <w:spacing w:val="0"/>
          <w:color w:val="000000"/>
        </w:rPr>
        <w:t xml:space="preserve">* Schott AG</w:t>
      </w:r>
    </w:p>
    <w:p>
      <w:pPr/>
      <w:r>
        <w:rPr>
          <w:rFonts w:ascii="Helvetica" w:hAnsi="Helvetica" w:cs="Helvetica"/>
          <w:sz w:val="24"/>
          <w:sz-cs w:val="24"/>
          <w:spacing w:val="0"/>
          <w:color w:val="000000"/>
        </w:rPr>
        <w:t xml:space="preserve">* Saint-Gobain S.A.</w:t>
      </w:r>
    </w:p>
    <w:p>
      <w:pPr/>
      <w:r>
        <w:rPr>
          <w:rFonts w:ascii="Helvetica" w:hAnsi="Helvetica" w:cs="Helvetica"/>
          <w:sz w:val="24"/>
          <w:sz-cs w:val="24"/>
          <w:spacing w:val="0"/>
          <w:color w:val="000000"/>
        </w:rPr>
        <w:t xml:space="preserve">* Kyocera Corporation</w:t>
      </w:r>
    </w:p>
    <w:p>
      <w:pPr/>
      <w:r>
        <w:rPr>
          <w:rFonts w:ascii="Helvetica" w:hAnsi="Helvetica" w:cs="Helvetica"/>
          <w:sz w:val="24"/>
          <w:sz-cs w:val="24"/>
          <w:spacing w:val="0"/>
          <w:color w:val="000000"/>
        </w:rPr>
        <w:t xml:space="preserve">* Murata Manufacturing Co., Ltd.</w:t>
      </w:r>
    </w:p>
    <w:p>
      <w:pPr/>
      <w:r>
        <w:rPr>
          <w:rFonts w:ascii="Helvetica" w:hAnsi="Helvetica" w:cs="Helvetica"/>
          <w:sz w:val="24"/>
          <w:sz-cs w:val="24"/>
          <w:spacing w:val="0"/>
          <w:color w:val="000000"/>
        </w:rPr>
        <w:t xml:space="preserve">* Konoshima Chemical Co., Ltd.</w:t>
      </w:r>
    </w:p>
    <w:p>
      <w:pPr/>
      <w:r>
        <w:rPr>
          <w:rFonts w:ascii="Helvetica" w:hAnsi="Helvetica" w:cs="Helvetica"/>
          <w:sz w:val="24"/>
          <w:sz-cs w:val="24"/>
          <w:spacing w:val="0"/>
          <w:color w:val="000000"/>
        </w:rPr>
        <w:t xml:space="preserve">* Ceradyne Inc. (3M)</w:t>
      </w:r>
    </w:p>
    <w:p>
      <w:pPr/>
      <w:r>
        <w:rPr>
          <w:rFonts w:ascii="Helvetica" w:hAnsi="Helvetica" w:cs="Helvetica"/>
          <w:sz w:val="24"/>
          <w:sz-cs w:val="24"/>
          <w:spacing w:val="0"/>
          <w:color w:val="000000"/>
        </w:rPr>
        <w:t xml:space="preserve">* II-VI Incorporated / Coherent Corp.</w:t>
      </w:r>
    </w:p>
    <w:p>
      <w:pPr/>
      <w:r>
        <w:rPr>
          <w:rFonts w:ascii="Helvetica" w:hAnsi="Helvetica" w:cs="Helvetica"/>
          <w:sz w:val="24"/>
          <w:sz-cs w:val="24"/>
          <w:spacing w:val="0"/>
          <w:color w:val="000000"/>
        </w:rPr>
        <w:t xml:space="preserve">* Rubicon Technology Inc.</w:t>
      </w:r>
    </w:p>
    <w:p>
      <w:pPr/>
      <w:r>
        <w:rPr>
          <w:rFonts w:ascii="Helvetica" w:hAnsi="Helvetica" w:cs="Helvetica"/>
          <w:sz w:val="24"/>
          <w:sz-cs w:val="24"/>
          <w:spacing w:val="0"/>
          <w:color w:val="000000"/>
        </w:rPr>
        <w:t xml:space="preserve">* Adamant Namiki Precision Jewel Co., Ltd.</w:t>
      </w:r>
    </w:p>
    <w:p>
      <w:pPr/>
      <w:r>
        <w:rPr>
          <w:rFonts w:ascii="Helvetica" w:hAnsi="Helvetica" w:cs="Helvetica"/>
          <w:sz w:val="24"/>
          <w:sz-cs w:val="24"/>
          <w:spacing w:val="0"/>
          <w:color w:val="000000"/>
        </w:rPr>
        <w:t xml:space="preserve">* Crystalwise Technology Inc.</w:t>
      </w:r>
    </w:p>
    <w:p>
      <w:pPr/>
      <w:r>
        <w:rPr>
          <w:rFonts w:ascii="Helvetica" w:hAnsi="Helvetica" w:cs="Helvetica"/>
          <w:sz w:val="24"/>
          <w:sz-cs w:val="24"/>
          <w:spacing w:val="0"/>
          <w:color w:val="000000"/>
        </w:rPr>
        <w:t xml:space="preserve">* Advanced Ceramics Manufacturing LLC</w:t>
      </w:r>
    </w:p>
    <w:p>
      <w:pPr/>
      <w:r>
        <w:rPr>
          <w:rFonts w:ascii="Helvetica" w:hAnsi="Helvetica" w:cs="Helvetica"/>
          <w:sz w:val="24"/>
          <w:sz-cs w:val="24"/>
          <w:spacing w:val="0"/>
          <w:color w:val="000000"/>
        </w:rPr>
        <w:t xml:space="preserve">* AGC Inc.</w:t>
      </w:r>
    </w:p>
    <w:p>
      <w:pPr/>
      <w:r>
        <w:rPr>
          <w:rFonts w:ascii="Helvetica" w:hAnsi="Helvetica" w:cs="Helvetica"/>
          <w:sz w:val="24"/>
          <w:sz-cs w:val="24"/>
          <w:spacing w:val="0"/>
          <w:color w:val="000000"/>
        </w:rPr>
        <w:t xml:space="preserve">* Baikowski SA</w:t>
      </w:r>
    </w:p>
    <w:p>
      <w:pPr/>
      <w:r>
        <w:rPr>
          <w:rFonts w:ascii="Helvetica" w:hAnsi="Helvetica" w:cs="Helvetica"/>
          <w:sz w:val="24"/>
          <w:sz-cs w:val="24"/>
          <w:spacing w:val="0"/>
          <w:color w:val="000000"/>
        </w:rPr>
        <w:t xml:space="preserve">* Zhongke Jingcheng New Material Co., Ltd.</w:t>
      </w:r>
    </w:p>
    <w:p>
      <w:pPr/>
      <w:r>
        <w:rPr>
          <w:rFonts w:ascii="Helvetica" w:hAnsi="Helvetica" w:cs="Helvetica"/>
          <w:sz w:val="24"/>
          <w:sz-cs w:val="24"/>
          <w:spacing w:val="0"/>
          <w:color w:val="000000"/>
        </w:rPr>
        <w:t xml:space="preserve">* Sinoma Advanced Nitride Ceramics Co., Ltd.</w:t>
      </w:r>
    </w:p>
    <w:p>
      <w:pPr/>
      <w:r>
        <w:rPr>
          <w:rFonts w:ascii="Helvetica" w:hAnsi="Helvetica" w:cs="Helvetica"/>
          <w:sz w:val="24"/>
          <w:sz-cs w:val="24"/>
          <w:spacing w:val="0"/>
          <w:color w:val="000000"/>
        </w:rPr>
        <w:t xml:space="preserve">* SICCAS High-Tech Materials Co., Ltd.</w:t>
      </w:r>
    </w:p>
    <w:p>
      <w:pPr/>
      <w:r>
        <w:rPr>
          <w:rFonts w:ascii="Helvetica" w:hAnsi="Helvetica" w:cs="Helvetica"/>
          <w:sz w:val="24"/>
          <w:sz-cs w:val="24"/>
          <w:spacing w:val="0"/>
          <w:color w:val="000000"/>
        </w:rPr>
        <w:t xml:space="preserve">* American Elements</w:t>
      </w:r>
    </w:p>
    <w:p>
      <w:pPr/>
      <w:r>
        <w:rPr>
          <w:rFonts w:ascii="Helvetica" w:hAnsi="Helvetica" w:cs="Helvetica"/>
          <w:sz w:val="24"/>
          <w:sz-cs w:val="24"/>
          <w:spacing w:val="0"/>
          <w:color w:val="000000"/>
        </w:rPr>
        <w:t xml:space="preserve">* Toshima Manufacturing Co., Ltd.</w:t>
      </w:r>
    </w:p>
    <w:p>
      <w:pPr/>
      <w:r>
        <w:rPr>
          <w:rFonts w:ascii="Helvetica" w:hAnsi="Helvetica" w:cs="Helvetica"/>
          <w:sz w:val="24"/>
          <w:sz-cs w:val="24"/>
          <w:spacing w:val="0"/>
          <w:color w:val="000000"/>
        </w:rPr>
        <w:t xml:space="preserve">* Ceratec Technical Ceramics BV</w:t>
      </w:r>
    </w:p>
    <w:p>
      <w:pPr/>
      <w:r>
        <w:rPr>
          <w:rFonts w:ascii="Helvetica" w:hAnsi="Helvetica" w:cs="Helvetica"/>
          <w:sz w:val="24"/>
          <w:sz-cs w:val="24"/>
          <w:spacing w:val="0"/>
          <w:color w:val="000000"/>
        </w:rPr>
        <w:t xml:space="preserve">* Tera YAG Co., Ltd.</w:t>
      </w:r>
    </w:p>
    <w:p>
      <w:pPr/>
      <w:r>
        <w:rPr>
          <w:rFonts w:ascii="Helvetica" w:hAnsi="Helvetica" w:cs="Helvetica"/>
          <w:sz w:val="24"/>
          <w:sz-cs w:val="24"/>
          <w:spacing w:val="0"/>
          <w:color w:val="000000"/>
        </w:rPr>
        <w:t xml:space="preserve">* Precision Ceramics International Ltd.</w:t>
      </w:r>
    </w:p>
    <w:p>
      <w:pPr/>
      <w:r>
        <w:rPr>
          <w:rFonts w:ascii="Helvetica" w:hAnsi="Helvetica" w:cs="Helvetica"/>
          <w:sz w:val="24"/>
          <w:sz-cs w:val="24"/>
          <w:spacing w:val="0"/>
          <w:color w:val="000000"/>
        </w:rPr>
        <w:t xml:space="preserve">* Blasch Precision Ceramics Inc.</w:t>
      </w:r>
    </w:p>
    <w:p>
      <w:pPr/>
      <w:r>
        <w:rPr>
          <w:rFonts w:ascii="Helvetica" w:hAnsi="Helvetica" w:cs="Helvetica"/>
          <w:sz w:val="24"/>
          <w:sz-cs w:val="24"/>
          <w:spacing w:val="0"/>
          <w:color w:val="000000"/>
        </w:rPr>
        <w:t xml:space="preserve">Read Analysis of Optical Ceramics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key whitespace remains in manufacturing routes and product architectures that reduce cost and expand feasible geometries without sacrificing optical clarity, especially for larger apertures and integrated features where conventional powder processing and finishing drive high yield loss. An April 2026 Optica Publishing Group result demonstrating all-ceramic channel waveguides fabricated in Yb:YAG transparent ceramics using direct ink write additive manufacturing (reported with 61% slope efficiency) illustrates how optical ceramics can move beyond windows and plates toward functional photonic structures. The opportunity is concentrated on suppliers that can qualify repeatable printed microstructures and then post-process them to optical-grade finishes.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Capacity and supply-resilience investments in adjacent optical and ceramic manufacturing also point to near-term partnering and qualification opportunities for vendors supplying defense, datacom, and semiconductor-adjacent programs. In April 2026, Lattice Materials broke ground on an 80,000-square-foot advanced optics manufacturing facility in Bozeman, Montana supported by a federal investment, indicating active buildout of domestic optics infrastructure that can support localized supply networks for transparent ceramics and finishing services. In July 2026, Kyocera announced a JPY 650 billion investment plan through March 2031 that includes expanding ceramic package capacity for optical communications and ceramic components used in semiconductor manufacturing equipment, reinforcing demand pull for high-reliability ceramic materials and process capabilities used in advanced tool ecosystems.</w:t>
      </w:r>
    </w:p>
    <w:p>
      <w:pPr/>
      <w:r>
        <w:rPr>
          <w:rFonts w:ascii="Helvetica" w:hAnsi="Helvetica" w:cs="Helvetica"/>
          <w:sz w:val="24"/>
          <w:sz-cs w:val="24"/>
          <w:spacing w:val="0"/>
          <w:color w:val="000000"/>
        </w:rPr>
        <w:t xml:space="preserve">Recent Industry Developments in Optical Ceramics Market* July 2026: CoorsTek announced a USD 120 million investment to build an advanced materials R&amp;D facility in Golden, Colorado, intended to expand ceramic materials development, analytical testing, and commercialization support. The added infrastructure strengthens CoorsTek's ability to shorten iteration cycles from formulation to pilot-scale output, which is material for optical-ceramic programs constrained by yield, scale-up, and qualification throughput.</w:t>
      </w:r>
    </w:p>
    <w:p>
      <w:pPr/>
      <w:r>
        <w:rPr>
          <w:rFonts w:ascii="Helvetica" w:hAnsi="Helvetica" w:cs="Helvetica"/>
          <w:sz w:val="24"/>
          <w:sz-cs w:val="24"/>
          <w:spacing w:val="0"/>
          <w:color w:val="000000"/>
        </w:rPr>
        <w:t xml:space="preserve">* December 2025: Surmet received a US Department of Defense SBIR award focused on developing transparent armor components, with performance work extending through December 2026 to support Approved Source status for Army procurements. The award structure links R&amp;D milestones to procurement readiness, tightening the pathway from ALON development to repeatable defense-grade production.</w:t>
      </w:r>
    </w:p>
    <w:p>
      <w:pPr/>
      <w:r>
        <w:rPr>
          <w:rFonts w:ascii="Helvetica" w:hAnsi="Helvetica" w:cs="Helvetica"/>
          <w:sz w:val="24"/>
          <w:sz-cs w:val="24"/>
          <w:spacing w:val="0"/>
          <w:color w:val="000000"/>
        </w:rPr>
        <w:t xml:space="preserve">* May 2025: Coherent launched 50 W pump laser diodes designed to increase fiber-laser output power while reducing the number of diodes required per system. Higher-power, lower-count pumping supports system designs that push thermal and optical loading at the component level, reinforcing the role of robust optical ceramics in high-duty laser assemblies and adjacent photonics subsystems.</w:t>
      </w:r>
    </w:p>
    <w:p>
      <w:pPr/>
      <w:r>
        <w:rPr>
          <w:rFonts w:ascii="Helvetica" w:hAnsi="Helvetica" w:cs="Helvetica"/>
          <w:sz w:val="24"/>
          <w:sz-cs w:val="24"/>
          <w:spacing w:val="0"/>
          <w:color w:val="000000"/>
        </w:rPr>
        <w:t xml:space="preserve">Table of Contents for Optical Ceramics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adoption of infra-red transparent armor in next-gen combat vehicles</w:t>
      </w:r>
    </w:p>
    <w:p>
      <w:pPr/>
      <w:r>
        <w:rPr>
          <w:rFonts w:ascii="Helvetica" w:hAnsi="Helvetica" w:cs="Helvetica"/>
          <w:sz w:val="24"/>
          <w:sz-cs w:val="24"/>
          <w:spacing w:val="0"/>
          <w:color w:val="000000"/>
        </w:rPr>
        <w:t xml:space="preserve">* 4.2.2 Surge in UV-LED and laser-based medical devices demanding polycrystalline YAG optics</w:t>
      </w:r>
    </w:p>
    <w:p>
      <w:pPr/>
      <w:r>
        <w:rPr>
          <w:rFonts w:ascii="Helvetica" w:hAnsi="Helvetica" w:cs="Helvetica"/>
          <w:sz w:val="24"/>
          <w:sz-cs w:val="24"/>
          <w:spacing w:val="0"/>
          <w:color w:val="000000"/>
        </w:rPr>
        <w:t xml:space="preserve">* 4.2.3 Growth of high-temperature gas-turbine inspections that require sapphire windows</w:t>
      </w:r>
    </w:p>
    <w:p>
      <w:pPr/>
      <w:r>
        <w:rPr>
          <w:rFonts w:ascii="Helvetica" w:hAnsi="Helvetica" w:cs="Helvetica"/>
          <w:sz w:val="24"/>
          <w:sz-cs w:val="24"/>
          <w:spacing w:val="0"/>
          <w:color w:val="000000"/>
        </w:rPr>
        <w:t xml:space="preserve">* 4.2.4 Spacecraft light-weighting drives ALON/spinel viewports in LEO satellites</w:t>
      </w:r>
    </w:p>
    <w:p>
      <w:pPr/>
      <w:r>
        <w:rPr>
          <w:rFonts w:ascii="Helvetica" w:hAnsi="Helvetica" w:cs="Helvetica"/>
          <w:sz w:val="24"/>
          <w:sz-cs w:val="24"/>
          <w:spacing w:val="0"/>
          <w:color w:val="000000"/>
        </w:rPr>
        <w:t xml:space="preserve">* 4.2.5 Large-area Li-ion battery pack lasers using ceramic flash lamps</w:t>
      </w:r>
    </w:p>
    <w:p>
      <w:pPr/>
      <w:r>
        <w:rPr>
          <w:rFonts w:ascii="Helvetica" w:hAnsi="Helvetica" w:cs="Helvetica"/>
          <w:sz w:val="24"/>
          <w:sz-cs w:val="24"/>
          <w:spacing w:val="0"/>
          <w:color w:val="000000"/>
        </w:rPr>
        <w:t xml:space="preserve">* 4.2.6 Military modernization budgets earmarked for airborne IR sensors with ceramic domes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Capex-intensive hot-isostatic-pressing lines limiting emerging-market entry</w:t>
      </w:r>
    </w:p>
    <w:p>
      <w:pPr/>
      <w:r>
        <w:rPr>
          <w:rFonts w:ascii="Helvetica" w:hAnsi="Helvetica" w:cs="Helvetica"/>
          <w:sz w:val="24"/>
          <w:sz-cs w:val="24"/>
          <w:spacing w:val="0"/>
          <w:color w:val="000000"/>
        </w:rPr>
        <w:t xml:space="preserve">* 4.3.2 Yield-losses (&gt;15 %) above 120 mm diameter keep unit costs uncompetitive vs. glass</w:t>
      </w:r>
    </w:p>
    <w:p>
      <w:pPr/>
      <w:r>
        <w:rPr>
          <w:rFonts w:ascii="Helvetica" w:hAnsi="Helvetica" w:cs="Helvetica"/>
          <w:sz w:val="24"/>
          <w:sz-cs w:val="24"/>
          <w:spacing w:val="0"/>
          <w:color w:val="000000"/>
        </w:rPr>
        <w:t xml:space="preserve">* 4.3.3 Limited transmittance in the 5-7 Âµm band constrains long-wave IR adoption</w:t>
      </w:r>
    </w:p>
    <w:p>
      <w:pPr/>
      <w:r>
        <w:rPr>
          <w:rFonts w:ascii="Helvetica" w:hAnsi="Helvetica" w:cs="Helvetica"/>
          <w:sz w:val="24"/>
          <w:sz-cs w:val="24"/>
          <w:spacing w:val="0"/>
          <w:color w:val="000000"/>
        </w:rPr>
        <w:t xml:space="preserve">* 4.3.4 IP consolidationâ€”over 120 active U.S. patents block new formulations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Regulatory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Investment and Funding Trends Analysis</w:t>
      </w:r>
    </w:p>
    <w:p>
      <w:pPr/>
      <w:r>
        <w:rPr>
          <w:rFonts w:ascii="Helvetica" w:hAnsi="Helvetica" w:cs="Helvetica"/>
          <w:sz w:val="24"/>
          <w:sz-cs w:val="24"/>
          <w:spacing w:val="0"/>
          <w:color w:val="000000"/>
        </w:rPr>
        <w:t xml:space="preserve">* 4.9 Impact of Macroeconomic factors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Material Type* 5.1.1 Yttrium Aluminum Garnet (YAG)</w:t>
      </w:r>
    </w:p>
    <w:p>
      <w:pPr/>
      <w:r>
        <w:rPr>
          <w:rFonts w:ascii="Helvetica" w:hAnsi="Helvetica" w:cs="Helvetica"/>
          <w:sz w:val="24"/>
          <w:sz-cs w:val="24"/>
          <w:spacing w:val="0"/>
          <w:color w:val="000000"/>
        </w:rPr>
        <w:t xml:space="preserve">* 5.1.2 Aluminum Oxynitride (ALON)</w:t>
      </w:r>
    </w:p>
    <w:p>
      <w:pPr/>
      <w:r>
        <w:rPr>
          <w:rFonts w:ascii="Helvetica" w:hAnsi="Helvetica" w:cs="Helvetica"/>
          <w:sz w:val="24"/>
          <w:sz-cs w:val="24"/>
          <w:spacing w:val="0"/>
          <w:color w:val="000000"/>
        </w:rPr>
        <w:t xml:space="preserve">* 5.1.3 Spinel</w:t>
      </w:r>
    </w:p>
    <w:p>
      <w:pPr/>
      <w:r>
        <w:rPr>
          <w:rFonts w:ascii="Helvetica" w:hAnsi="Helvetica" w:cs="Helvetica"/>
          <w:sz w:val="24"/>
          <w:sz-cs w:val="24"/>
          <w:spacing w:val="0"/>
          <w:color w:val="000000"/>
        </w:rPr>
        <w:t xml:space="preserve">* 5.1.4 Sapphire</w:t>
      </w:r>
    </w:p>
    <w:p>
      <w:pPr/>
      <w:r>
        <w:rPr>
          <w:rFonts w:ascii="Helvetica" w:hAnsi="Helvetica" w:cs="Helvetica"/>
          <w:sz w:val="24"/>
          <w:sz-cs w:val="24"/>
          <w:spacing w:val="0"/>
          <w:color w:val="000000"/>
        </w:rPr>
        <w:t xml:space="preserve">* 5.1.5 Yttria</w:t>
      </w:r>
    </w:p>
    <w:p>
      <w:pPr/>
      <w:r>
        <w:rPr>
          <w:rFonts w:ascii="Helvetica" w:hAnsi="Helvetica" w:cs="Helvetica"/>
          <w:sz w:val="24"/>
          <w:sz-cs w:val="24"/>
          <w:spacing w:val="0"/>
          <w:color w:val="000000"/>
        </w:rPr>
        <w:t xml:space="preserve">* 5.1.6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Fabrication Method* 5.2.1 Solid-state Sintering</w:t>
      </w:r>
    </w:p>
    <w:p>
      <w:pPr/>
      <w:r>
        <w:rPr>
          <w:rFonts w:ascii="Helvetica" w:hAnsi="Helvetica" w:cs="Helvetica"/>
          <w:sz w:val="24"/>
          <w:sz-cs w:val="24"/>
          <w:spacing w:val="0"/>
          <w:color w:val="000000"/>
        </w:rPr>
        <w:t xml:space="preserve">* 5.2.2 Hot Isostatic Pressing (HIP)</w:t>
      </w:r>
    </w:p>
    <w:p>
      <w:pPr/>
      <w:r>
        <w:rPr>
          <w:rFonts w:ascii="Helvetica" w:hAnsi="Helvetica" w:cs="Helvetica"/>
          <w:sz w:val="24"/>
          <w:sz-cs w:val="24"/>
          <w:spacing w:val="0"/>
          <w:color w:val="000000"/>
        </w:rPr>
        <w:t xml:space="preserve">* 5.2.3 Vacuum Sintering</w:t>
      </w:r>
    </w:p>
    <w:p>
      <w:pPr/>
      <w:r>
        <w:rPr>
          <w:rFonts w:ascii="Helvetica" w:hAnsi="Helvetica" w:cs="Helvetica"/>
          <w:sz w:val="24"/>
          <w:sz-cs w:val="24"/>
          <w:spacing w:val="0"/>
          <w:color w:val="000000"/>
        </w:rPr>
        <w:t xml:space="preserve">* 5.2.4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Product Type* 5.3.1 Polycrystalline</w:t>
      </w:r>
    </w:p>
    <w:p>
      <w:pPr/>
      <w:r>
        <w:rPr>
          <w:rFonts w:ascii="Helvetica" w:hAnsi="Helvetica" w:cs="Helvetica"/>
          <w:sz w:val="24"/>
          <w:sz-cs w:val="24"/>
          <w:spacing w:val="0"/>
          <w:color w:val="000000"/>
        </w:rPr>
        <w:t xml:space="preserve">* 5.3.2 Monocrystalline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Transparent Armor and Bullet-resistant Windows</w:t>
      </w:r>
    </w:p>
    <w:p>
      <w:pPr/>
      <w:r>
        <w:rPr>
          <w:rFonts w:ascii="Helvetica" w:hAnsi="Helvetica" w:cs="Helvetica"/>
          <w:sz w:val="24"/>
          <w:sz-cs w:val="24"/>
          <w:spacing w:val="0"/>
          <w:color w:val="000000"/>
        </w:rPr>
        <w:t xml:space="preserve">* 5.4.2 Sensor and Imaging Optics</w:t>
      </w:r>
    </w:p>
    <w:p>
      <w:pPr/>
      <w:r>
        <w:rPr>
          <w:rFonts w:ascii="Helvetica" w:hAnsi="Helvetica" w:cs="Helvetica"/>
          <w:sz w:val="24"/>
          <w:sz-cs w:val="24"/>
          <w:spacing w:val="0"/>
          <w:color w:val="000000"/>
        </w:rPr>
        <w:t xml:space="preserve">* 5.4.3 Laser and Lighting Components</w:t>
      </w:r>
    </w:p>
    <w:p>
      <w:pPr/>
      <w:r>
        <w:rPr>
          <w:rFonts w:ascii="Helvetica" w:hAnsi="Helvetica" w:cs="Helvetica"/>
          <w:sz w:val="24"/>
          <w:sz-cs w:val="24"/>
          <w:spacing w:val="0"/>
          <w:color w:val="000000"/>
        </w:rPr>
        <w:t xml:space="preserve">* 5.4.4 Medical Imaging and Diagnostics</w:t>
      </w:r>
    </w:p>
    <w:p>
      <w:pPr/>
      <w:r>
        <w:rPr>
          <w:rFonts w:ascii="Helvetica" w:hAnsi="Helvetica" w:cs="Helvetica"/>
          <w:sz w:val="24"/>
          <w:sz-cs w:val="24"/>
          <w:spacing w:val="0"/>
          <w:color w:val="000000"/>
        </w:rPr>
        <w:t xml:space="preserve">* 5.4.5 LEDs and Phosphors</w:t>
      </w:r>
    </w:p>
    <w:p>
      <w:pPr/>
      <w:r>
        <w:rPr>
          <w:rFonts w:ascii="Helvetica" w:hAnsi="Helvetica" w:cs="Helvetica"/>
          <w:sz w:val="24"/>
          <w:sz-cs w:val="24"/>
          <w:spacing w:val="0"/>
          <w:color w:val="000000"/>
        </w:rPr>
        <w:t xml:space="preserve">* 5.4.6 Energy and Power Generation Optics</w:t>
      </w:r>
    </w:p>
    <w:p>
      <w:pPr/>
      <w:r>
        <w:rPr>
          <w:rFonts w:ascii="Helvetica" w:hAnsi="Helvetica" w:cs="Helvetica"/>
          <w:sz w:val="24"/>
          <w:sz-cs w:val="24"/>
          <w:spacing w:val="0"/>
          <w:color w:val="000000"/>
        </w:rPr>
        <w:t xml:space="preserve">* 5.4.7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 Industry* 5.5.1 Aerospace and Defense</w:t>
      </w:r>
    </w:p>
    <w:p>
      <w:pPr/>
      <w:r>
        <w:rPr>
          <w:rFonts w:ascii="Helvetica" w:hAnsi="Helvetica" w:cs="Helvetica"/>
          <w:sz w:val="24"/>
          <w:sz-cs w:val="24"/>
          <w:spacing w:val="0"/>
          <w:color w:val="000000"/>
        </w:rPr>
        <w:t xml:space="preserve">* 5.5.2 Healthcare</w:t>
      </w:r>
    </w:p>
    <w:p>
      <w:pPr/>
      <w:r>
        <w:rPr>
          <w:rFonts w:ascii="Helvetica" w:hAnsi="Helvetica" w:cs="Helvetica"/>
          <w:sz w:val="24"/>
          <w:sz-cs w:val="24"/>
          <w:spacing w:val="0"/>
          <w:color w:val="000000"/>
        </w:rPr>
        <w:t xml:space="preserve">* 5.5.3 Energy</w:t>
      </w:r>
    </w:p>
    <w:p>
      <w:pPr/>
      <w:r>
        <w:rPr>
          <w:rFonts w:ascii="Helvetica" w:hAnsi="Helvetica" w:cs="Helvetica"/>
          <w:sz w:val="24"/>
          <w:sz-cs w:val="24"/>
          <w:spacing w:val="0"/>
          <w:color w:val="000000"/>
        </w:rPr>
        <w:t xml:space="preserve">* 5.5.4 Consumer Electronics</w:t>
      </w:r>
    </w:p>
    <w:p>
      <w:pPr/>
      <w:r>
        <w:rPr>
          <w:rFonts w:ascii="Helvetica" w:hAnsi="Helvetica" w:cs="Helvetica"/>
          <w:sz w:val="24"/>
          <w:sz-cs w:val="24"/>
          <w:spacing w:val="0"/>
          <w:color w:val="000000"/>
        </w:rPr>
        <w:t xml:space="preserve">* 5.5.5 Industrial and Manufacturing</w:t>
      </w:r>
    </w:p>
    <w:p>
      <w:pPr/>
      <w:r>
        <w:rPr>
          <w:rFonts w:ascii="Helvetica" w:hAnsi="Helvetica" w:cs="Helvetica"/>
          <w:sz w:val="24"/>
          <w:sz-cs w:val="24"/>
          <w:spacing w:val="0"/>
          <w:color w:val="000000"/>
        </w:rPr>
        <w:t xml:space="preserve">* 5.5.6 Research and Instrumentation</w:t>
      </w:r>
    </w:p>
    <w:p>
      <w:pPr/>
      <w:r>
        <w:rPr>
          <w:rFonts w:ascii="Helvetica" w:hAnsi="Helvetica" w:cs="Helvetica"/>
          <w:sz w:val="24"/>
          <w:sz-cs w:val="24"/>
          <w:spacing w:val="0"/>
          <w:color w:val="000000"/>
        </w:rPr>
        <w:t xml:space="preserve">* 5.5.7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Nordics (Sweden, Finland, Norway, Denmark)</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South Korea</w:t>
      </w:r>
    </w:p>
    <w:p>
      <w:pPr/>
      <w:r>
        <w:rPr>
          <w:rFonts w:ascii="Helvetica" w:hAnsi="Helvetica" w:cs="Helvetica"/>
          <w:sz w:val="24"/>
          <w:sz-cs w:val="24"/>
          <w:spacing w:val="0"/>
          <w:color w:val="000000"/>
        </w:rPr>
        <w:t xml:space="preserve">* 5.6.4.4 Taiwan</w:t>
      </w:r>
    </w:p>
    <w:p>
      <w:pPr/>
      <w:r>
        <w:rPr>
          <w:rFonts w:ascii="Helvetica" w:hAnsi="Helvetica" w:cs="Helvetica"/>
          <w:sz w:val="24"/>
          <w:sz-cs w:val="24"/>
          <w:spacing w:val="0"/>
          <w:color w:val="000000"/>
        </w:rPr>
        <w:t xml:space="preserve">* 5.6.4.5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United Arab Emirates</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Surmet Corporation</w:t>
      </w:r>
    </w:p>
    <w:p>
      <w:pPr/>
      <w:r>
        <w:rPr>
          <w:rFonts w:ascii="Helvetica" w:hAnsi="Helvetica" w:cs="Helvetica"/>
          <w:sz w:val="24"/>
          <w:sz-cs w:val="24"/>
          <w:spacing w:val="0"/>
          <w:color w:val="000000"/>
        </w:rPr>
        <w:t xml:space="preserve">* 6.4.2 CoorsTek Inc.</w:t>
      </w:r>
    </w:p>
    <w:p>
      <w:pPr/>
      <w:r>
        <w:rPr>
          <w:rFonts w:ascii="Helvetica" w:hAnsi="Helvetica" w:cs="Helvetica"/>
          <w:sz w:val="24"/>
          <w:sz-cs w:val="24"/>
          <w:spacing w:val="0"/>
          <w:color w:val="000000"/>
        </w:rPr>
        <w:t xml:space="preserve">* 6.4.3 CeramTec GmbH</w:t>
      </w:r>
    </w:p>
    <w:p>
      <w:pPr/>
      <w:r>
        <w:rPr>
          <w:rFonts w:ascii="Helvetica" w:hAnsi="Helvetica" w:cs="Helvetica"/>
          <w:sz w:val="24"/>
          <w:sz-cs w:val="24"/>
          <w:spacing w:val="0"/>
          <w:color w:val="000000"/>
        </w:rPr>
        <w:t xml:space="preserve">* 6.4.4 CeraNova Corporation</w:t>
      </w:r>
    </w:p>
    <w:p>
      <w:pPr/>
      <w:r>
        <w:rPr>
          <w:rFonts w:ascii="Helvetica" w:hAnsi="Helvetica" w:cs="Helvetica"/>
          <w:sz w:val="24"/>
          <w:sz-cs w:val="24"/>
          <w:spacing w:val="0"/>
          <w:color w:val="000000"/>
        </w:rPr>
        <w:t xml:space="preserve">* 6.4.5 Schott AG</w:t>
      </w:r>
    </w:p>
    <w:p>
      <w:pPr/>
      <w:r>
        <w:rPr>
          <w:rFonts w:ascii="Helvetica" w:hAnsi="Helvetica" w:cs="Helvetica"/>
          <w:sz w:val="24"/>
          <w:sz-cs w:val="24"/>
          <w:spacing w:val="0"/>
          <w:color w:val="000000"/>
        </w:rPr>
        <w:t xml:space="preserve">* 6.4.6 Saint-Gobain S.A.</w:t>
      </w:r>
    </w:p>
    <w:p>
      <w:pPr/>
      <w:r>
        <w:rPr>
          <w:rFonts w:ascii="Helvetica" w:hAnsi="Helvetica" w:cs="Helvetica"/>
          <w:sz w:val="24"/>
          <w:sz-cs w:val="24"/>
          <w:spacing w:val="0"/>
          <w:color w:val="000000"/>
        </w:rPr>
        <w:t xml:space="preserve">* 6.4.7 Kyocera Corporation</w:t>
      </w:r>
    </w:p>
    <w:p>
      <w:pPr/>
      <w:r>
        <w:rPr>
          <w:rFonts w:ascii="Helvetica" w:hAnsi="Helvetica" w:cs="Helvetica"/>
          <w:sz w:val="24"/>
          <w:sz-cs w:val="24"/>
          <w:spacing w:val="0"/>
          <w:color w:val="000000"/>
        </w:rPr>
        <w:t xml:space="preserve">* 6.4.8 Murata Manufacturing Co., Ltd.</w:t>
      </w:r>
    </w:p>
    <w:p>
      <w:pPr/>
      <w:r>
        <w:rPr>
          <w:rFonts w:ascii="Helvetica" w:hAnsi="Helvetica" w:cs="Helvetica"/>
          <w:sz w:val="24"/>
          <w:sz-cs w:val="24"/>
          <w:spacing w:val="0"/>
          <w:color w:val="000000"/>
        </w:rPr>
        <w:t xml:space="preserve">* 6.4.9 Konoshima Chemical Co., Ltd.</w:t>
      </w:r>
    </w:p>
    <w:p>
      <w:pPr/>
      <w:r>
        <w:rPr>
          <w:rFonts w:ascii="Helvetica" w:hAnsi="Helvetica" w:cs="Helvetica"/>
          <w:sz w:val="24"/>
          <w:sz-cs w:val="24"/>
          <w:spacing w:val="0"/>
          <w:color w:val="000000"/>
        </w:rPr>
        <w:t xml:space="preserve">* 6.4.10 Ceradyne Inc. (3M)</w:t>
      </w:r>
    </w:p>
    <w:p>
      <w:pPr/>
      <w:r>
        <w:rPr>
          <w:rFonts w:ascii="Helvetica" w:hAnsi="Helvetica" w:cs="Helvetica"/>
          <w:sz w:val="24"/>
          <w:sz-cs w:val="24"/>
          <w:spacing w:val="0"/>
          <w:color w:val="000000"/>
        </w:rPr>
        <w:t xml:space="preserve">* 6.4.11 II-VI Incorporated / Coherent Corp.</w:t>
      </w:r>
    </w:p>
    <w:p>
      <w:pPr/>
      <w:r>
        <w:rPr>
          <w:rFonts w:ascii="Helvetica" w:hAnsi="Helvetica" w:cs="Helvetica"/>
          <w:sz w:val="24"/>
          <w:sz-cs w:val="24"/>
          <w:spacing w:val="0"/>
          <w:color w:val="000000"/>
        </w:rPr>
        <w:t xml:space="preserve">* 6.4.12 Rubicon Technology Inc.</w:t>
      </w:r>
    </w:p>
    <w:p>
      <w:pPr/>
      <w:r>
        <w:rPr>
          <w:rFonts w:ascii="Helvetica" w:hAnsi="Helvetica" w:cs="Helvetica"/>
          <w:sz w:val="24"/>
          <w:sz-cs w:val="24"/>
          <w:spacing w:val="0"/>
          <w:color w:val="000000"/>
        </w:rPr>
        <w:t xml:space="preserve">* 6.4.13 Adamant Namiki Precision Jewel Co., Ltd.</w:t>
      </w:r>
    </w:p>
    <w:p>
      <w:pPr/>
      <w:r>
        <w:rPr>
          <w:rFonts w:ascii="Helvetica" w:hAnsi="Helvetica" w:cs="Helvetica"/>
          <w:sz w:val="24"/>
          <w:sz-cs w:val="24"/>
          <w:spacing w:val="0"/>
          <w:color w:val="000000"/>
        </w:rPr>
        <w:t xml:space="preserve">* 6.4.14 Crystalwise Technology Inc.</w:t>
      </w:r>
    </w:p>
    <w:p>
      <w:pPr/>
      <w:r>
        <w:rPr>
          <w:rFonts w:ascii="Helvetica" w:hAnsi="Helvetica" w:cs="Helvetica"/>
          <w:sz w:val="24"/>
          <w:sz-cs w:val="24"/>
          <w:spacing w:val="0"/>
          <w:color w:val="000000"/>
        </w:rPr>
        <w:t xml:space="preserve">* 6.4.15 Advanced Ceramics Manufacturing LLC</w:t>
      </w:r>
    </w:p>
    <w:p>
      <w:pPr/>
      <w:r>
        <w:rPr>
          <w:rFonts w:ascii="Helvetica" w:hAnsi="Helvetica" w:cs="Helvetica"/>
          <w:sz w:val="24"/>
          <w:sz-cs w:val="24"/>
          <w:spacing w:val="0"/>
          <w:color w:val="000000"/>
        </w:rPr>
        <w:t xml:space="preserve">* 6.4.16 AGC Inc.</w:t>
      </w:r>
    </w:p>
    <w:p>
      <w:pPr/>
      <w:r>
        <w:rPr>
          <w:rFonts w:ascii="Helvetica" w:hAnsi="Helvetica" w:cs="Helvetica"/>
          <w:sz w:val="24"/>
          <w:sz-cs w:val="24"/>
          <w:spacing w:val="0"/>
          <w:color w:val="000000"/>
        </w:rPr>
        <w:t xml:space="preserve">* 6.4.17 Baikowski SA</w:t>
      </w:r>
    </w:p>
    <w:p>
      <w:pPr/>
      <w:r>
        <w:rPr>
          <w:rFonts w:ascii="Helvetica" w:hAnsi="Helvetica" w:cs="Helvetica"/>
          <w:sz w:val="24"/>
          <w:sz-cs w:val="24"/>
          <w:spacing w:val="0"/>
          <w:color w:val="000000"/>
        </w:rPr>
        <w:t xml:space="preserve">* 6.4.18 Zhongke Jingcheng New Material Co., Ltd.</w:t>
      </w:r>
    </w:p>
    <w:p>
      <w:pPr/>
      <w:r>
        <w:rPr>
          <w:rFonts w:ascii="Helvetica" w:hAnsi="Helvetica" w:cs="Helvetica"/>
          <w:sz w:val="24"/>
          <w:sz-cs w:val="24"/>
          <w:spacing w:val="0"/>
          <w:color w:val="000000"/>
        </w:rPr>
        <w:t xml:space="preserve">* 6.4.19 Sinoma Advanced Nitride Ceramics Co., Ltd.</w:t>
      </w:r>
    </w:p>
    <w:p>
      <w:pPr/>
      <w:r>
        <w:rPr>
          <w:rFonts w:ascii="Helvetica" w:hAnsi="Helvetica" w:cs="Helvetica"/>
          <w:sz w:val="24"/>
          <w:sz-cs w:val="24"/>
          <w:spacing w:val="0"/>
          <w:color w:val="000000"/>
        </w:rPr>
        <w:t xml:space="preserve">* 6.4.20 SICCAS High-Tech Materials Co., Ltd.</w:t>
      </w:r>
    </w:p>
    <w:p>
      <w:pPr/>
      <w:r>
        <w:rPr>
          <w:rFonts w:ascii="Helvetica" w:hAnsi="Helvetica" w:cs="Helvetica"/>
          <w:sz w:val="24"/>
          <w:sz-cs w:val="24"/>
          <w:spacing w:val="0"/>
          <w:color w:val="000000"/>
        </w:rPr>
        <w:t xml:space="preserve">* 6.4.21 American Elements</w:t>
      </w:r>
    </w:p>
    <w:p>
      <w:pPr/>
      <w:r>
        <w:rPr>
          <w:rFonts w:ascii="Helvetica" w:hAnsi="Helvetica" w:cs="Helvetica"/>
          <w:sz w:val="24"/>
          <w:sz-cs w:val="24"/>
          <w:spacing w:val="0"/>
          <w:color w:val="000000"/>
        </w:rPr>
        <w:t xml:space="preserve">* 6.4.22 Toshima Manufacturing Co., Ltd.</w:t>
      </w:r>
    </w:p>
    <w:p>
      <w:pPr/>
      <w:r>
        <w:rPr>
          <w:rFonts w:ascii="Helvetica" w:hAnsi="Helvetica" w:cs="Helvetica"/>
          <w:sz w:val="24"/>
          <w:sz-cs w:val="24"/>
          <w:spacing w:val="0"/>
          <w:color w:val="000000"/>
        </w:rPr>
        <w:t xml:space="preserve">* 6.4.23 Ceratec Technical Ceramics BV</w:t>
      </w:r>
    </w:p>
    <w:p>
      <w:pPr/>
      <w:r>
        <w:rPr>
          <w:rFonts w:ascii="Helvetica" w:hAnsi="Helvetica" w:cs="Helvetica"/>
          <w:sz w:val="24"/>
          <w:sz-cs w:val="24"/>
          <w:spacing w:val="0"/>
          <w:color w:val="000000"/>
        </w:rPr>
        <w:t xml:space="preserve">* 6.4.24 Tera YAG Co., Ltd.</w:t>
      </w:r>
    </w:p>
    <w:p>
      <w:pPr/>
      <w:r>
        <w:rPr>
          <w:rFonts w:ascii="Helvetica" w:hAnsi="Helvetica" w:cs="Helvetica"/>
          <w:sz w:val="24"/>
          <w:sz-cs w:val="24"/>
          <w:spacing w:val="0"/>
          <w:color w:val="000000"/>
        </w:rPr>
        <w:t xml:space="preserve">* 6.4.25 Precision Ceramics International Ltd.</w:t>
      </w:r>
    </w:p>
    <w:p>
      <w:pPr/>
      <w:r>
        <w:rPr>
          <w:rFonts w:ascii="Helvetica" w:hAnsi="Helvetica" w:cs="Helvetica"/>
          <w:sz w:val="24"/>
          <w:sz-cs w:val="24"/>
          <w:spacing w:val="0"/>
          <w:color w:val="000000"/>
        </w:rPr>
        <w:t xml:space="preserve">* 6.4.26 Blasch Precision Ceramics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Ceramics Market Report Scope and Research MethodologyMarket Definition and CoverageFor this study, the optical ceramics market covers engineered ceramic materials that transmit light in the UV, visible, or IR range and are sold as finished or semi-finished optical parts such as windows, domes, lenses, and protective plates.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electronics-grade glass, phosphors, general glazing ceramics, repair or recycling value, and refabrication services that do not create new optical ceramic output.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Material Type* Yttrium Aluminum Garnet (YAG)</w:t>
      </w:r>
    </w:p>
    <w:p>
      <w:pPr/>
      <w:r>
        <w:rPr>
          <w:rFonts w:ascii="Helvetica" w:hAnsi="Helvetica" w:cs="Helvetica"/>
          <w:sz w:val="24"/>
          <w:sz-cs w:val="24"/>
          <w:spacing w:val="0"/>
          <w:color w:val="000000"/>
        </w:rPr>
        <w:t xml:space="preserve">* Aluminum Oxynitride (ALON)</w:t>
      </w:r>
    </w:p>
    <w:p>
      <w:pPr/>
      <w:r>
        <w:rPr>
          <w:rFonts w:ascii="Helvetica" w:hAnsi="Helvetica" w:cs="Helvetica"/>
          <w:sz w:val="24"/>
          <w:sz-cs w:val="24"/>
          <w:spacing w:val="0"/>
          <w:color w:val="000000"/>
        </w:rPr>
        <w:t xml:space="preserve">* Spinel</w:t>
      </w:r>
    </w:p>
    <w:p>
      <w:pPr/>
      <w:r>
        <w:rPr>
          <w:rFonts w:ascii="Helvetica" w:hAnsi="Helvetica" w:cs="Helvetica"/>
          <w:sz w:val="24"/>
          <w:sz-cs w:val="24"/>
          <w:spacing w:val="0"/>
          <w:color w:val="000000"/>
        </w:rPr>
        <w:t xml:space="preserve">* Sapphire</w:t>
      </w:r>
    </w:p>
    <w:p>
      <w:pPr/>
      <w:r>
        <w:rPr>
          <w:rFonts w:ascii="Helvetica" w:hAnsi="Helvetica" w:cs="Helvetica"/>
          <w:sz w:val="24"/>
          <w:sz-cs w:val="24"/>
          <w:spacing w:val="0"/>
          <w:color w:val="000000"/>
        </w:rPr>
        <w:t xml:space="preserve">* Yttria</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Fabrication Method* Solid-state Sintering</w:t>
      </w:r>
    </w:p>
    <w:p>
      <w:pPr/>
      <w:r>
        <w:rPr>
          <w:rFonts w:ascii="Helvetica" w:hAnsi="Helvetica" w:cs="Helvetica"/>
          <w:sz w:val="24"/>
          <w:sz-cs w:val="24"/>
          <w:spacing w:val="0"/>
          <w:color w:val="000000"/>
        </w:rPr>
        <w:t xml:space="preserve">* Hot Isostatic Pressing (HIP)</w:t>
      </w:r>
    </w:p>
    <w:p>
      <w:pPr/>
      <w:r>
        <w:rPr>
          <w:rFonts w:ascii="Helvetica" w:hAnsi="Helvetica" w:cs="Helvetica"/>
          <w:sz w:val="24"/>
          <w:sz-cs w:val="24"/>
          <w:spacing w:val="0"/>
          <w:color w:val="000000"/>
        </w:rPr>
        <w:t xml:space="preserve">* Vacuum Sintering</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Polycrystalline</w:t>
      </w:r>
    </w:p>
    <w:p>
      <w:pPr/>
      <w:r>
        <w:rPr>
          <w:rFonts w:ascii="Helvetica" w:hAnsi="Helvetica" w:cs="Helvetica"/>
          <w:sz w:val="24"/>
          <w:sz-cs w:val="24"/>
          <w:spacing w:val="0"/>
          <w:color w:val="000000"/>
        </w:rPr>
        <w:t xml:space="preserve">* Monocrystalline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Transparent Armor and Bullet-resistant Windows</w:t>
      </w:r>
    </w:p>
    <w:p>
      <w:pPr/>
      <w:r>
        <w:rPr>
          <w:rFonts w:ascii="Helvetica" w:hAnsi="Helvetica" w:cs="Helvetica"/>
          <w:sz w:val="24"/>
          <w:sz-cs w:val="24"/>
          <w:spacing w:val="0"/>
          <w:color w:val="000000"/>
        </w:rPr>
        <w:t xml:space="preserve">* Sensor and Imaging Optics</w:t>
      </w:r>
    </w:p>
    <w:p>
      <w:pPr/>
      <w:r>
        <w:rPr>
          <w:rFonts w:ascii="Helvetica" w:hAnsi="Helvetica" w:cs="Helvetica"/>
          <w:sz w:val="24"/>
          <w:sz-cs w:val="24"/>
          <w:spacing w:val="0"/>
          <w:color w:val="000000"/>
        </w:rPr>
        <w:t xml:space="preserve">* Laser and Lighting Components</w:t>
      </w:r>
    </w:p>
    <w:p>
      <w:pPr/>
      <w:r>
        <w:rPr>
          <w:rFonts w:ascii="Helvetica" w:hAnsi="Helvetica" w:cs="Helvetica"/>
          <w:sz w:val="24"/>
          <w:sz-cs w:val="24"/>
          <w:spacing w:val="0"/>
          <w:color w:val="000000"/>
        </w:rPr>
        <w:t xml:space="preserve">* Medical Imaging and Diagnostics</w:t>
      </w:r>
    </w:p>
    <w:p>
      <w:pPr/>
      <w:r>
        <w:rPr>
          <w:rFonts w:ascii="Helvetica" w:hAnsi="Helvetica" w:cs="Helvetica"/>
          <w:sz w:val="24"/>
          <w:sz-cs w:val="24"/>
          <w:spacing w:val="0"/>
          <w:color w:val="000000"/>
        </w:rPr>
        <w:t xml:space="preserve">* LEDs and Phosphors</w:t>
      </w:r>
    </w:p>
    <w:p>
      <w:pPr/>
      <w:r>
        <w:rPr>
          <w:rFonts w:ascii="Helvetica" w:hAnsi="Helvetica" w:cs="Helvetica"/>
          <w:sz w:val="24"/>
          <w:sz-cs w:val="24"/>
          <w:spacing w:val="0"/>
          <w:color w:val="000000"/>
        </w:rPr>
        <w:t xml:space="preserve">* Energy and Power Generation Optics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 Industry* Aerospace and Defense</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Energy</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Industrial and Manufacturing</w:t>
      </w:r>
    </w:p>
    <w:p>
      <w:pPr/>
      <w:r>
        <w:rPr>
          <w:rFonts w:ascii="Helvetica" w:hAnsi="Helvetica" w:cs="Helvetica"/>
          <w:sz w:val="24"/>
          <w:sz-cs w:val="24"/>
          <w:spacing w:val="0"/>
          <w:color w:val="000000"/>
        </w:rPr>
        <w:t xml:space="preserve">* Research and Instrumentation</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Nordics (Sweden, Finland, Norway, Denmark)</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Taiwan</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technical and commercial boundaries and to build starting assumptions that could be checked later in interviews. Public sources that helped include, such as, the USGS and other geological agencies for alumina and related material context, UN Comtrade for trade flows linked to advanced ceramics and optical parts, and US government standards and guidance notes (such as NIST references) that clarify optical performance terms.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open scientific literature (peer-reviewed journals) to understand material adoption and typical use cases, along with defense and aerospace procurement releases, conference proceedings, and association websites tied to technical ceramics. For company context, we used annual reports, investor presentations, and product catalogs, and then cross-checked signals with paid subscriptions focused on company financials and intelligence, patent databases, and shipment-level trade datasets where relevant. These examples are not exhaustive, and many other public and paid sources were also used for data collection, cross-checking,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which optical ceramic forms are actually shipped in volume and how pricing changes with purity, thickness, and finishing. We spoke with a mix of material suppliers, component makers, distributors, and procurement and engineering stakeholders across APAC, EMEA, and the Americas so gaps from desk research could be closed and key assumptions could be confirmed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18% | APAC: 46% | </w:t>
      </w:r>
    </w:p>
    <w:p>
      <w:pPr/>
      <w:r>
        <w:rPr>
          <w:rFonts w:ascii="Helvetica" w:hAnsi="Helvetica" w:cs="Helvetica"/>
          <w:sz w:val="24"/>
          <w:sz-cs w:val="24"/>
          <w:spacing w:val="0"/>
          <w:color w:val="000000"/>
        </w:rPr>
        <w:t xml:space="preserve">Mid tier: 54% | Functional/Unit leaders: 27% | EMEA: 35% | </w:t>
      </w:r>
    </w:p>
    <w:p>
      <w:pPr/>
      <w:r>
        <w:rPr>
          <w:rFonts w:ascii="Helvetica" w:hAnsi="Helvetica" w:cs="Helvetica"/>
          <w:sz w:val="24"/>
          <w:sz-cs w:val="24"/>
          <w:spacing w:val="0"/>
          <w:color w:val="000000"/>
        </w:rPr>
        <w:t xml:space="preserve">Smaller Players: 19% | Managers: 55%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where production and trade signals for advanced ceramics are narrowed into the addressable optical ceramics demand pool, and then allocated across major application uses that repeatedly showed up in interviews. To keep the model practical, totals are corroborated with selective bottom-up approximations such as sampled supplier roll-ups, channel checks for typical order sizes, and ASP x volume math for common part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tracked include defense and aerospace procurement cycles for transparent protection parts, trends in IR optics adoption and sensor integration, material-specific yield and scrap assumptions for dense optical-grade ceramics, typical part thickness and finishing requirements that shift ASPs, and import-export movement patterns for relevant optical components. Where bottom-up evidence was patchy, gaps were handled using conservative penetration ranges tied back to interview feedback, and then stress-tested so no single assumption drove the total.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supported by a light multivariate view of the drivers that matter most, including procurement timing, industrial output indicators, and price movement assumptions for key inputs. The final path is the one that best matched expert expectations for adoption speed and realistic capacity and qualification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checked through several passes so we can spot errors early, and then tighten the assumptions that create the biggest swings. We compare the modeled totals against independent signals such as trade movement direction, visible procurement activity, and the implied revenue capacity that suppliers can support at typical utilization levels.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Variance checks are run across regions and use cases, and outliers trigger a re-check of units, currency timing, and ASP logic before sign-off. Reports are refreshed annually, and interim updates are made when material events occur that can shift demand or supply. Before delivery, a final analyst review is completed so clients receive the most current version of the numbers and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Ceramics Market Size Versus Other Published EstimatesPublished market sizes for optical ceramics often differ because each source sets its own boundaries for what counts as an optical ceramic product and what gets left in adjacent categories. Differences also show up when one estimate leans more on technology potential, and another waits for confirmed shipments and repeat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Trade movement direction, procurement visibility in defense and aerospace, and the implied revenue capacity from known optical-grade production lines are the checks that keep Mordor Intelligence's 2026 market value tied to shipped optical components rather than broader transparent 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0.70 B (2026) | | </w:t>
      </w:r>
    </w:p>
    <w:p>
      <w:pPr/>
      <w:r>
        <w:rPr>
          <w:rFonts w:ascii="Helvetica" w:hAnsi="Helvetica" w:cs="Helvetica"/>
          <w:sz w:val="24"/>
          <w:sz-cs w:val="24"/>
          <w:spacing w:val="0"/>
          <w:color w:val="000000"/>
        </w:rPr>
        <w:t xml:space="preserve">Global Consultancy A | USD 0.35 B (2024) | Uses an earlier base year and appears to apply a narrower counted set of end uses, which can leave out some defense-grade windows and domes that are priced higher and shipped under longer programs. | </w:t>
      </w:r>
    </w:p>
    <w:p>
      <w:pPr/>
      <w:r>
        <w:rPr>
          <w:rFonts w:ascii="Helvetica" w:hAnsi="Helvetica" w:cs="Helvetica"/>
          <w:sz w:val="24"/>
          <w:sz-cs w:val="24"/>
          <w:spacing w:val="0"/>
          <w:color w:val="000000"/>
        </w:rPr>
        <w:t xml:space="preserve">Industry Publisher B | USD 0.29 B (2024) | Leans more on manufacturer-reported volumes and standard category mapping, which can undercount value added from optical finishing and can treat certain dense transparent ceramics as outside the optical ceramics definition. | </w:t>
      </w:r>
    </w:p>
    <w:p>
      <w:pPr/>
      <w:r>
        <w:rPr>
          <w:rFonts w:ascii="Helvetica" w:hAnsi="Helvetica" w:cs="Helvetica"/>
          <w:sz w:val="24"/>
          <w:sz-cs w:val="24"/>
          <w:spacing w:val="0"/>
          <w:color w:val="000000"/>
        </w:rPr>
        <w:t xml:space="preserve">The spread is mainly explained by scope boundaries, base-year choice, and how value added from finishing and qualification is captured in pricing. By tying each step back to observable demand signals and a repeatable ASP x volume logic, our estimate stays transparent and easier to audit over time.</w:t>
      </w:r>
    </w:p>
    <w:p>
      <w:pPr/>
      <w:r>
        <w:rPr>
          <w:rFonts w:ascii="Helvetica" w:hAnsi="Helvetica" w:cs="Helvetica"/>
          <w:sz w:val="24"/>
          <w:sz-cs w:val="24"/>
          <w:spacing w:val="0"/>
          <w:color w:val="000000"/>
        </w:rPr>
        <w:t xml:space="preserve">Key Questions Answered in the ReportWhat was the optical ceramics market size in 2026, and how fast will it grow? The optical ceramics market size reached USD 696.8 million in 2026 and is projected to expand at a 12.38% CAGR to USD 1.25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material type dominates the optical ceramics market? YAG led with 29.85% market share in 2025, valued for its versatility across lasers, scintillators, and industrial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transparent ceramics preferred over glass in armor applications? ALON and spinel panels cut weight by up to 60% while maintaining ballistic protection, improving vehicle mobility, and fuel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the fastest-growing market for optical ceramics? The Middle East and Africa region is the fastest, posting an 10.98% CAGR between 2026-2031, driven by airborne sensor and defense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manufacturing challenges in large optical ceramic components? Yield losses above 15% for parts exceeding 120 mm in diameter raise costs, largely due to micro-crack formation and densification issues during sintering.</w:t>
      </w:r>
    </w:p>
    <w:p>
      <w:pPr/>
      <w:r>
        <w:rPr>
          <w:rFonts w:ascii="Helvetica" w:hAnsi="Helvetica" w:cs="Helvetica"/>
          <w:sz w:val="24"/>
          <w:sz-cs w:val="24"/>
          <w:spacing w:val="0"/>
          <w:color w:val="000000"/>
        </w:rPr>
        <w:t xml:space="preserve">Related Reports Explore More ReportsCeramic Capacitors Industry OverviewReport on Consumer Electronics Optoelectronics IndustryIndustrial Optoelectronics Industry OverviewSemiconductor Laser Market ShareLaser Photomask IndustrySemiconductor Equipment IndustryIndustry Outlook of Semiconductor FoundrySemiconductor Laser Equipment MarketSemiconductor Lithography Equipment Market SizeReport on Semiconductor Materials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