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Measurement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https://www.mordorintelligence.com/industry-reports/optical-measurement-market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Measurement Market Size &amp; Share Analysis - Growth Trends and Forecast (2026 - 2031)The Optical Measurement Market Report is Segmented by Offering (Hardware, Software, and Services), Dimension (2D, and 3D), Measurement Range (Small and Medium Components (Less Than 1 MÂ³), and Large Volume (Above 1 MÂ³)), Technique (Laser Triangulation, and More), End-User (Automotive, Aerospace and Defense, Energy and Power, and More), and Geography. The Market Forecasts are Provided in Terms of Value (USD).</w:t>
      </w:r>
    </w:p>
    <w:p>
      <w:pPr/>
      <w:r>
        <w:rPr>
          <w:rFonts w:ascii="Helvetica" w:hAnsi="Helvetica" w:cs="Helvetica"/>
          <w:sz w:val="24"/>
          <w:sz-cs w:val="24"/>
          <w:spacing w:val="0"/>
          <w:color w:val="000000"/>
        </w:rPr>
        <w:t xml:space="preserve">Optical Measurement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6.99 Billion | </w:t>
      </w:r>
    </w:p>
    <w:p>
      <w:pPr/>
      <w:r>
        <w:rPr>
          <w:rFonts w:ascii="Helvetica" w:hAnsi="Helvetica" w:cs="Helvetica"/>
          <w:sz w:val="24"/>
          <w:sz-cs w:val="24"/>
          <w:spacing w:val="0"/>
          <w:color w:val="000000"/>
        </w:rPr>
        <w:t xml:space="preserve">Market Size (2031) | USD 9.51 Billion | </w:t>
      </w:r>
    </w:p>
    <w:p>
      <w:pPr/>
      <w:r>
        <w:rPr>
          <w:rFonts w:ascii="Helvetica" w:hAnsi="Helvetica" w:cs="Helvetica"/>
          <w:sz w:val="24"/>
          <w:sz-cs w:val="24"/>
          <w:spacing w:val="0"/>
          <w:color w:val="000000"/>
        </w:rPr>
        <w:t xml:space="preserve">Growth Rate (2026 - 2031) | 6.35 % CAGR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Measurement Market Analysis by Mordor IntelligenceThe optical measurement market size is expected to grow from USD 6.57 billion in 2025 to USD 6.99 billion in 2026 and is forecast to reach USD 9.51 billion by 2031 at 6.35% CAGR over 2026-2031. The growth trajectory reflects escalating demand for inline metrology inside EV battery gigafactories, sub-nanometer precision requirements in shrinking semiconductor nodes, and tighter integration of optical sensors with smart-factory ecosystems. Aerospace maintenance operations are migrating toward non-contact inspection of composite airframes, while the miniaturization of medical implants drives wider use of white-light interferometry. Competitive pressure is intensifying as companies pursue technology-heavy acquisitions, and supply-chain constraints for germanium and gallium continue to elevate costs and lead times.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offering, hardware dominated with 61.70% revenue share in 2025; software solutions are forecast to post the highest CAGR at 6.62% through 2031.</w:t>
      </w:r>
    </w:p>
    <w:p>
      <w:pPr/>
      <w:r>
        <w:rPr>
          <w:rFonts w:ascii="Helvetica" w:hAnsi="Helvetica" w:cs="Helvetica"/>
          <w:sz w:val="24"/>
          <w:sz-cs w:val="24"/>
          <w:spacing w:val="0"/>
          <w:color w:val="000000"/>
        </w:rPr>
        <w:t xml:space="preserve">* By hardware type, coordinate measuring machines accounted for 41.10% share of the hardware segment in 2025, whereas optical digitizers and scanners are expected to climb at an 7.74% CAGR to 2031.</w:t>
      </w:r>
    </w:p>
    <w:p>
      <w:pPr/>
      <w:r>
        <w:rPr>
          <w:rFonts w:ascii="Helvetica" w:hAnsi="Helvetica" w:cs="Helvetica"/>
          <w:sz w:val="24"/>
          <w:sz-cs w:val="24"/>
          <w:spacing w:val="0"/>
          <w:color w:val="000000"/>
        </w:rPr>
        <w:t xml:space="preserve">* By end-user, automotive applications held 25.20% of optical measurement market size in 2025, while the electronics and semiconductor segment is on track for the fastest 7.08% CAGR to 2031.</w:t>
      </w:r>
    </w:p>
    <w:p>
      <w:pPr/>
      <w:r>
        <w:rPr>
          <w:rFonts w:ascii="Helvetica" w:hAnsi="Helvetica" w:cs="Helvetica"/>
          <w:sz w:val="24"/>
          <w:sz-cs w:val="24"/>
          <w:spacing w:val="0"/>
          <w:color w:val="000000"/>
        </w:rPr>
        <w:t xml:space="preserve">* By dimension, 3D systems captured 69.80% of optical measurement market size in 2025 and lead growth at an 7.89% CAGR iopscience.iop.org.</w:t>
      </w:r>
    </w:p>
    <w:p>
      <w:pPr/>
      <w:r>
        <w:rPr>
          <w:rFonts w:ascii="Helvetica" w:hAnsi="Helvetica" w:cs="Helvetica"/>
          <w:sz w:val="24"/>
          <w:sz-cs w:val="24"/>
          <w:spacing w:val="0"/>
          <w:color w:val="000000"/>
        </w:rPr>
        <w:t xml:space="preserve">* By measurement range, small and medium component inspection secured 70.95% share of the optical measurement market size in 2025, whereas large-volume systems (&gt;1 mÂ³) are projected to advance at a 6.78% CAGR</w:t>
      </w:r>
    </w:p>
    <w:p>
      <w:pPr/>
      <w:r>
        <w:rPr>
          <w:rFonts w:ascii="Helvetica" w:hAnsi="Helvetica" w:cs="Helvetica"/>
          <w:sz w:val="24"/>
          <w:sz-cs w:val="24"/>
          <w:spacing w:val="0"/>
          <w:color w:val="000000"/>
        </w:rPr>
        <w:t xml:space="preserve">* By geography, Asia-Pacific led with 37.80% of optical measurement market share in 2025, while it is projected to expand at a 6.97% CAGR to 2031</w:t>
      </w:r>
    </w:p>
    <w:p>
      <w:pPr/>
      <w:r>
        <w:rPr>
          <w:rFonts w:ascii="Helvetica" w:hAnsi="Helvetica" w:cs="Helvetica"/>
          <w:sz w:val="24"/>
          <w:sz-cs w:val="24"/>
          <w:spacing w:val="0"/>
          <w:color w:val="000000"/>
        </w:rPr>
        <w:t xml:space="preserve">Note: Market size and forecast figures in this report are generated using Mordor Intelligence's proprietary estimation framework, updated with the latest available data and insights as of 2026.</w:t>
      </w:r>
    </w:p>
    <w:p>
      <w:pPr/>
      <w:r>
        <w:rPr>
          <w:rFonts w:ascii="Helvetica" w:hAnsi="Helvetica" w:cs="Helvetica"/>
          <w:sz w:val="24"/>
          <w:sz-cs w:val="24"/>
          <w:spacing w:val="0"/>
          <w:color w:val="000000"/>
        </w:rPr>
        <w:t xml:space="preserve">Global Optical Measurement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Impact on CAGR Forecast | Geographic Relevance | Impact Timeline | </w:t>
      </w:r>
    </w:p>
    <w:p>
      <w:pPr/>
      <w:r>
        <w:rPr>
          <w:rFonts w:ascii="Helvetica" w:hAnsi="Helvetica" w:cs="Helvetica"/>
          <w:sz w:val="24"/>
          <w:sz-cs w:val="24"/>
          <w:spacing w:val="0"/>
          <w:color w:val="000000"/>
        </w:rPr>
        <w:t xml:space="preserve">Surging EV battery gigafactory demand for in-line optical metrology | +1.2% | Asia-Pacific core, spill-over to North America | Medium term (2-4 years) | </w:t>
      </w:r>
    </w:p>
    <w:p>
      <w:pPr/>
      <w:r>
        <w:rPr>
          <w:rFonts w:ascii="Helvetica" w:hAnsi="Helvetica" w:cs="Helvetica"/>
          <w:sz w:val="24"/>
          <w:sz-cs w:val="24"/>
          <w:spacing w:val="0"/>
          <w:color w:val="000000"/>
        </w:rPr>
        <w:t xml:space="preserve">Adoption of optical metrology in additive manufacturing quality loops | +0.8% | Global, concentrated in North America &amp; EU | Long term (â‰¥4 years) | </w:t>
      </w:r>
    </w:p>
    <w:p>
      <w:pPr/>
      <w:r>
        <w:rPr>
          <w:rFonts w:ascii="Helvetica" w:hAnsi="Helvetica" w:cs="Helvetica"/>
          <w:sz w:val="24"/>
          <w:sz-cs w:val="24"/>
          <w:spacing w:val="0"/>
          <w:color w:val="000000"/>
        </w:rPr>
        <w:t xml:space="preserve">Node-shrink driven precision needs in semiconductor front-end fabs | +1.5% | Asia-Pacific, North America, select EU fabs | Short term (â‰¤2 years) | </w:t>
      </w:r>
    </w:p>
    <w:p>
      <w:pPr/>
      <w:r>
        <w:rPr>
          <w:rFonts w:ascii="Helvetica" w:hAnsi="Helvetica" w:cs="Helvetica"/>
          <w:sz w:val="24"/>
          <w:sz-cs w:val="24"/>
          <w:spacing w:val="0"/>
          <w:color w:val="000000"/>
        </w:rPr>
        <w:t xml:space="preserve">Aerospace MRO shift to non-contact inspection for composite airframes | +0.6% | North America &amp; EU core, emerging Asia-Pacific | Medium term (2-4 years) | </w:t>
      </w:r>
    </w:p>
    <w:p>
      <w:pPr/>
      <w:r>
        <w:rPr>
          <w:rFonts w:ascii="Helvetica" w:hAnsi="Helvetica" w:cs="Helvetica"/>
          <w:sz w:val="24"/>
          <w:sz-cs w:val="24"/>
          <w:spacing w:val="0"/>
          <w:color w:val="000000"/>
        </w:rPr>
        <w:t xml:space="preserve">Miniaturization of medical implants elevating white-light interferometry | +0.4% | Global, early adoption in North America &amp; EU | Long term (â‰¥4 years) | </w:t>
      </w:r>
    </w:p>
    <w:p>
      <w:pPr/>
      <w:r>
        <w:rPr>
          <w:rFonts w:ascii="Helvetica" w:hAnsi="Helvetica" w:cs="Helvetica"/>
          <w:sz w:val="24"/>
          <w:sz-cs w:val="24"/>
          <w:spacing w:val="0"/>
          <w:color w:val="000000"/>
        </w:rPr>
        <w:t xml:space="preserve">Integration with smart-factory MES and digital twin platforms | +0.9% | Global, advanced in Germany &amp; Japan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Surging EV battery gigafactory demand for in-line optical metrology (Asia)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Global investments of USD 195 billion in battery production during 2022-2023 are driving rapid deployment of high-speed optical inspection capable of validating 240 stator contacts in under 30 seconds, 100Ã— faster than legacy methods.[1] The Chinese industrial laser market grew 10.2% to USD 15.9 billion in 2024, paralleling heavier use of laser-based gauges on battery cell lines. Computed-tomography quality analysis now detects anode overhang and delamination non-destructively, mitigating thermal-runaway risks.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Modern Machine Shop, â€œPrecision Inspection System for Electric Vehicle Components,â€ mmsonline.comAdoption of optical metrology in additive manufacturing quality loops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Additive manufacturingâ€™s shift to serial production requires in-situ 3D topographical monitoring to reach zero-defect goals.[2] Optical datasets feed machine-learning models that automatically adjust process variables, cutting post-processing and scrap. Structured-light scanners deliver contact-level accuracy on selective-laser-melted parts, while digital moirÃ© analyses reveal a 7% volume gap versus CAD, underscoring the importance of closed-loop inspection.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MDPI, â€œIn-Situ 3D Surface Monitoring for Additive Manufacturing,â€ mdpi.comNode-shrink driven precision needs in semiconductor front-end fabs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Sub-2 nm nodes force metrology accuracy below 0.2 nm, promoting hybrid techniques that fuse multiple sensors.[3] Japanâ€™s renewed investments in wafer-equipment capacity highlight optical flatness metrologyâ€™s transition from capacitance-based tools to non-contact systems that eliminate micro-contamination. White-light interferometers maintain topography control inside TSV processes with repeatability aligned to reference gauges.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SPIE Digital Library, â€œAdvanced Metrology for Sub-2 nm Nodes,â€ spiedigitallibrary.orgAerospace MRO shift to non-contact inspection for composite airframes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Thermographic signal reconstruction now finishes full airframe checks in 3-4 hours versus 10-14 hours previously, cutting downtime while spotting subsurface flaws.[4] Dynamic scanning platforms paired with robotics lift point-cloud coverage by 18% on large fuselage parts. Portable systems such as LASLAT eliminate teardown, allowing inspections on the flight line.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CompositesWorld, â€œThermography Innovations for Aircraft NDI,â€ compositesworld.comRestraints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Impact on CAGR Forecast | Geographic Relevance | Impact Timeline | </w:t>
      </w:r>
    </w:p>
    <w:p>
      <w:pPr/>
      <w:r>
        <w:rPr>
          <w:rFonts w:ascii="Helvetica" w:hAnsi="Helvetica" w:cs="Helvetica"/>
          <w:sz w:val="24"/>
          <w:sz-cs w:val="24"/>
          <w:spacing w:val="0"/>
          <w:color w:val="000000"/>
        </w:rPr>
        <w:t xml:space="preserve">High up-front CAPEX for large-volume 3D scanners among SMEs | âˆ’0.7% | Global, acute in emerging markets | Short term (â‰¤2 years) | </w:t>
      </w:r>
    </w:p>
    <w:p>
      <w:pPr/>
      <w:r>
        <w:rPr>
          <w:rFonts w:ascii="Helvetica" w:hAnsi="Helvetica" w:cs="Helvetica"/>
          <w:sz w:val="24"/>
          <w:sz-cs w:val="24"/>
          <w:spacing w:val="0"/>
          <w:color w:val="000000"/>
        </w:rPr>
        <w:t xml:space="preserve">Measurement uncertainty on highly reflective hybrid composites | âˆ’0.4% | NA &amp; EU aerospace, APAC automotive | Medium term (2-4 years) | </w:t>
      </w:r>
    </w:p>
    <w:p>
      <w:pPr/>
      <w:r>
        <w:rPr>
          <w:rFonts w:ascii="Helvetica" w:hAnsi="Helvetica" w:cs="Helvetica"/>
          <w:sz w:val="24"/>
          <w:sz-cs w:val="24"/>
          <w:spacing w:val="0"/>
          <w:color w:val="000000"/>
        </w:rPr>
        <w:t xml:space="preserve">Fragmented metrology software ecosystem creating data silos | âˆ’0.5% | Global, multi-vendor sites | Long term (â‰¥4 years) | </w:t>
      </w:r>
    </w:p>
    <w:p>
      <w:pPr/>
      <w:r>
        <w:rPr>
          <w:rFonts w:ascii="Helvetica" w:hAnsi="Helvetica" w:cs="Helvetica"/>
          <w:sz w:val="24"/>
          <w:sz-cs w:val="24"/>
          <w:spacing w:val="0"/>
          <w:color w:val="000000"/>
        </w:rPr>
        <w:t xml:space="preserve">Supply-chain volatility in supercontinuum and UV optics | âˆ’0.6% | Global, precision applications | Short term (â‰¤2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up-front CAPEX for large-volume 3D scanners among SMEs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Systems such as ZEISS ATOS LRX, capable of scanning 4 mÂ² areas and capturing 2Ã—12 million points per frame, often exceed annual equipment budgets of small manufacturers. Leasing and measurement-as-a-service models offer relief but lack deep integration with automated cells, slowing broader uptake despite Indiaâ€™s incentive schemes that encourage modernization.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Measurement uncertainty on highly reflective hybrid composites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Vision-based methods record 2.4Â° to 4.6Â° total uncertainty on reflective TRICAP and TEPEX hybrids. Confocal microscopes require specialized calibration to maintain traceability, while hybrid optical-tactile setups improve accuracy at the cost of higher complexity.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Offering: Software Acceleration Drives Ecosystem Integration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Hardware dominated revenue with 61.70% share in 2025, reflecting continued dependence on coordinate measuring machines, optical digitizers, scanners, and vision systems for dimensional control mordorintelligence.com. Software, although smaller, is growing fastest at 6.62% CAGR as manufacturers embed analytics, AI, and remote collaboration into workflows. The optical measurement market benefits from vendors bundling sensors with cloud dashboards that unify quality data across plants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Coordinate measuring machines retained 41.10% of hardware revenue, supported by bridge and gantry models for battery packs and aerospace structures. Optical digitizers and scanners headline growth at 7.74% CAGR as additive manufacturing and reverse-engineering proliferate. The convergence of hardware and software blurs boundaries, with platforms such as Mitutoyo MeasurLink 10.1 linking Power BI analytics to inspection data. Services-calibration, retrofit, and trainingcement customer lock-in and open recurring-revenue streams.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Segment shares of all individual segments available upon report purchase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4.0.By Dimension: 3D Measurement Dominance Reflects Complexity Demands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Three-dimensional inspection commanded 69.80% of optical measurement market share in 2025, a position underpinned by the need to capture full geometries in fewer setups. 3D systems are projected to compound at 7.89% CAGR through 2031 as free-form surfaces, lattice structures, and complex assemblies become commonplace in EV and aerospace production. Two-dimensional tools remain essential for flat-panel and wafer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Advances in multi-sensor 3D profilers push nanometer-level uncertainty over large areas, while AI-driven defect recognition reduces operator dependency. Structured-light scanners slash cycle times and support reverse-engineering workflows. Chromatic confocal sensors now achieve 620 mm stand-off with sub-micrometer precision, extending optical metrology to deep cavities and large parts.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Measurement Range: Large Volume Applications Drive Innovation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Small and medium components held 70.95% share in 2025 as electronics, medical, and precision automotive parts dominate inspection counts. However, large-volume (&gt;1 mÂ³) applications are forecast to grow 6.78% CAGR due to wind-turbine blades, aircraft structures, and EV battery enclosures. Portable laser trackers and photogrammetry rigs now reach millimeter accuracy across factory halls.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Robotic automation within these rigs increases accessibility around massive components, boosting repeatability while reducing worker exposure. Multi-station layouts let manufacturers merge point clouds from several arms, enabling full-field analyses of parts that exceed a single systemâ€™s envelope. AI scripting automates feature extraction, accelerating first-article approval for large assemblies.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Recognized by Experts. Trusted by Leaders.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trusted intelligence partner to global decision-makers across 90+ countries.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Technique: White-Light Interferometry Gains Momentum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Laser triangulation remained the top technique with 37.10% share in 2025, prized for robustness and value. White-light interferometry is expected to register the fastest 7.43% CAGR as sub-nanometer precision becomes vital for advanced chips and miniaturized implants. Confocal microscopy usage widens for micro-surface texture, whereas time-of-flight tools find niches in long-range industrial alignment.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systems blend interferometry with triangulation or confocal modules, delivering both speed and exactness. The acquisition of supercontinuum-laser pioneer NKT Photonics by Hamamatsu expands light-source choices for these interferometers, allowing broadband illumination for high-resolution, low-noise height mapping.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Segment shares of all individual segments available upon report purchase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4.0.By End-user: Electronics-Semiconductor Surge Outpaces Automotive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Automotive lines comprised the largest slice at 25.20% of optical measurement market size in 2025, reflecting EV drivetrain precision and battery safety mandates. Electronics and semiconductor fabs, however, are projected for the quickest 7.08% CAGR, accelerated by AI server demand and Chinaâ€™s 2030 metrology blueprint. Aerospace and defense maintain steady uptake as composites and additive repairs proliferate.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Energy-sector requirements grow alongside wind and hydrogen investments, while medical manufacturing leans on interferometry for implant micro-finishing. Industrial machinery, research labs, and education round out demand, sustaining foundational metrology skills in the workforce.</w:t>
      </w:r>
    </w:p>
    <w:p>
      <w:pPr/>
      <w:r>
        <w:rPr>
          <w:rFonts w:ascii="Helvetica" w:hAnsi="Helvetica" w:cs="Helvetica"/>
          <w:sz w:val="24"/>
          <w:sz-cs w:val="24"/>
          <w:spacing w:val="0"/>
          <w:color w:val="000000"/>
        </w:rPr>
        <w:t xml:space="preserve">Geography AnalysisAsia-Pacific delivered 37.80% of 2025 revenue and is expected to grow at a 6.97% CAGR to 2031, buoyed by Chinese laser-tool investment and Japanâ€™s JPY 3.9 trillion semiconductor outlay between fiscal 2021 and 2023. Indiaâ€™s Production-Linked Incentive plans target a leap from 17% to 25% manufacturing GDP share, helping local firms finance metrology upgrades. Southeast Asian nations deepen electronics value-chains, further enlarging regional demand for dimensional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remains an innovation hub anchored by aerospace, defense, and advanced-node semiconductor fabs. Mexicoâ€™s light-vehicle plants and electronics assembly drive cross-border optical metrology installs, while Canada expands service networks via partnerships such as Hexagonâ€“Elliott Matsuura. The United States gains from reshoring policies that tie incentives to stringent quality audits.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secures share through German automotive excellence, French aerospace programs, and UK composites research. Germanyâ€™s Industry 4.0 adoption accelerates MESâ€“metrology integration, whereas Nordic suppliers provide niche equipment for wind-energy blade and space-component inspections. Supply-chain volatility in germanium and gallium has tested European OEMs but also encouraged local sourcing of optical elements.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LandscapeMarket Concentration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4.0.The field shows moderate consolidation. Hexagon AB, Carl Zeiss AG, Nikon Corporation, and Renishaw plc deploy broad portfolios combined with global service reach. Recent moves include Hexagonâ€™s USD 123 million take-over of Geomagic to couple point-cloud automation with sensor hardware. Hamamatsuâ€™s purchase of NKT Photonics strengthens light-source breadth for interferometry, while Viaviâ€™s acquisition of Inertial Labs widens inertial-navigation and optical test coverage. Supply-chain disruptions, particularly Chinaâ€™s export curbs on germanium and gallium, inflate optics costs and elongate lead times by 40 weeks, spurring multi-source strategies.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Emerging specialists such as Chipmetrics, funded with â‚¬2.4 million for ALD metrology, and Onto Innovation, securing a USD 69 million DRAM deal for thin-film gauges, signal that niche innovation still attracts capital. Private equity interest surfaced with Luxiumâ€™s USD 19 million bid for Inrad Optics, demonstrating confidence in component suppliers to high-precision instruments. AI-enhanced vision, multi-sensor fusion, and hybrid opticalâ€“tactile rigs headline next-wave differentiation.</w:t>
      </w:r>
    </w:p>
    <w:p>
      <w:pPr/>
      <w:r>
        <w:rPr>
          <w:rFonts w:ascii="Helvetica" w:hAnsi="Helvetica" w:cs="Helvetica"/>
          <w:sz w:val="24"/>
          <w:sz-cs w:val="24"/>
          <w:spacing w:val="0"/>
          <w:color w:val="000000"/>
        </w:rPr>
        <w:t xml:space="preserve">Optical Measurement Industry Leaders1 Hexagon Metrology2 Mitutoyo Corporation3 Carl Zeiss AG4 FARO Technologies5 Nikon Instruments Inc.*Disclaimer: Major Players sorted in no particular order</w:t>
      </w:r>
    </w:p>
    <w:p>
      <w:pPr/>
      <w:r>
        <w:rPr>
          <w:rFonts w:ascii="Helvetica" w:hAnsi="Helvetica" w:cs="Helvetica"/>
          <w:sz w:val="24"/>
          <w:sz-cs w:val="24"/>
          <w:spacing w:val="0"/>
          <w:color w:val="000000"/>
        </w:rPr>
        <w:t xml:space="preserve">Recent Industry Developments* January 2025: Onto Innovation received a USD 69 million volume purchase agreement for Iris G2 metrology systems, with shipments slated for Q1 2025.</w:t>
      </w:r>
    </w:p>
    <w:p>
      <w:pPr/>
      <w:r>
        <w:rPr>
          <w:rFonts w:ascii="Helvetica" w:hAnsi="Helvetica" w:cs="Helvetica"/>
          <w:sz w:val="24"/>
          <w:sz-cs w:val="24"/>
          <w:spacing w:val="0"/>
          <w:color w:val="000000"/>
        </w:rPr>
        <w:t xml:space="preserve">* January 2025: MSI Viking acquired a regional precision-metrology firm, broadening its optical measurement offering</w:t>
      </w:r>
    </w:p>
    <w:p>
      <w:pPr/>
      <w:r>
        <w:rPr>
          <w:rFonts w:ascii="Helvetica" w:hAnsi="Helvetica" w:cs="Helvetica"/>
          <w:sz w:val="24"/>
          <w:sz-cs w:val="24"/>
          <w:spacing w:val="0"/>
          <w:color w:val="000000"/>
        </w:rPr>
        <w:t xml:space="preserve">* December 2024: Hexagon AB bought 3D Systemsâ€™ Geomagic software suite for USD 123 million, closing by Q2 2025</w:t>
      </w:r>
    </w:p>
    <w:p>
      <w:pPr/>
      <w:r>
        <w:rPr>
          <w:rFonts w:ascii="Helvetica" w:hAnsi="Helvetica" w:cs="Helvetica"/>
          <w:sz w:val="24"/>
          <w:sz-cs w:val="24"/>
          <w:spacing w:val="0"/>
          <w:color w:val="000000"/>
        </w:rPr>
        <w:t xml:space="preserve">* December 2024: Viavi Solutions agreed to purchase Inertial Labs for up to USD 325 million over four years</w:t>
      </w:r>
    </w:p>
    <w:p>
      <w:pPr/>
      <w:r>
        <w:rPr>
          <w:rFonts w:ascii="Helvetica" w:hAnsi="Helvetica" w:cs="Helvetica"/>
          <w:sz w:val="24"/>
          <w:sz-cs w:val="24"/>
          <w:spacing w:val="0"/>
          <w:color w:val="000000"/>
        </w:rPr>
        <w:t xml:space="preserve">Table of Contents for Optical Measurement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Surging EV Battery Gigafactory Demand for In-Line Optical Metrology (Asia)</w:t>
      </w:r>
    </w:p>
    <w:p>
      <w:pPr/>
      <w:r>
        <w:rPr>
          <w:rFonts w:ascii="Helvetica" w:hAnsi="Helvetica" w:cs="Helvetica"/>
          <w:sz w:val="24"/>
          <w:sz-cs w:val="24"/>
          <w:spacing w:val="0"/>
          <w:color w:val="000000"/>
        </w:rPr>
        <w:t xml:space="preserve">* 4.2.2 Adoption of Optical Metrology in Additive Manufacturing Quality Loops</w:t>
      </w:r>
    </w:p>
    <w:p>
      <w:pPr/>
      <w:r>
        <w:rPr>
          <w:rFonts w:ascii="Helvetica" w:hAnsi="Helvetica" w:cs="Helvetica"/>
          <w:sz w:val="24"/>
          <w:sz-cs w:val="24"/>
          <w:spacing w:val="0"/>
          <w:color w:val="000000"/>
        </w:rPr>
        <w:t xml:space="preserve">* 4.2.3 Node-Shrink Driven Precision Needs in Semiconductor Front-End Fabs</w:t>
      </w:r>
    </w:p>
    <w:p>
      <w:pPr/>
      <w:r>
        <w:rPr>
          <w:rFonts w:ascii="Helvetica" w:hAnsi="Helvetica" w:cs="Helvetica"/>
          <w:sz w:val="24"/>
          <w:sz-cs w:val="24"/>
          <w:spacing w:val="0"/>
          <w:color w:val="000000"/>
        </w:rPr>
        <w:t xml:space="preserve">* 4.2.4 Aerospace MRO Shift to Non-contact Inspection for Composite Airframes</w:t>
      </w:r>
    </w:p>
    <w:p>
      <w:pPr/>
      <w:r>
        <w:rPr>
          <w:rFonts w:ascii="Helvetica" w:hAnsi="Helvetica" w:cs="Helvetica"/>
          <w:sz w:val="24"/>
          <w:sz-cs w:val="24"/>
          <w:spacing w:val="0"/>
          <w:color w:val="000000"/>
        </w:rPr>
        <w:t xml:space="preserve">* 4.2.5 Miniaturization of Medical Implants Elevating White-Light Interferometry Use</w:t>
      </w:r>
    </w:p>
    <w:p>
      <w:pPr/>
      <w:r>
        <w:rPr>
          <w:rFonts w:ascii="Helvetica" w:hAnsi="Helvetica" w:cs="Helvetica"/>
          <w:sz w:val="24"/>
          <w:sz-cs w:val="24"/>
          <w:spacing w:val="0"/>
          <w:color w:val="000000"/>
        </w:rPr>
        <w:t xml:space="preserve">* 4.2.6 Integration with Smart-Factory MES and Digital Twin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Up-front CAPEX for Large-Volume 3D Scanners among SMEs</w:t>
      </w:r>
    </w:p>
    <w:p>
      <w:pPr/>
      <w:r>
        <w:rPr>
          <w:rFonts w:ascii="Helvetica" w:hAnsi="Helvetica" w:cs="Helvetica"/>
          <w:sz w:val="24"/>
          <w:sz-cs w:val="24"/>
          <w:spacing w:val="0"/>
          <w:color w:val="000000"/>
        </w:rPr>
        <w:t xml:space="preserve">* 4.3.2 Measurement Uncertainty on Highly Reflective Hybrid Composites</w:t>
      </w:r>
    </w:p>
    <w:p>
      <w:pPr/>
      <w:r>
        <w:rPr>
          <w:rFonts w:ascii="Helvetica" w:hAnsi="Helvetica" w:cs="Helvetica"/>
          <w:sz w:val="24"/>
          <w:sz-cs w:val="24"/>
          <w:spacing w:val="0"/>
          <w:color w:val="000000"/>
        </w:rPr>
        <w:t xml:space="preserve">* 4.3.3 Fragmented Metrology Software Ecosystem Creating Data Silos</w:t>
      </w:r>
    </w:p>
    <w:p>
      <w:pPr/>
      <w:r>
        <w:rPr>
          <w:rFonts w:ascii="Helvetica" w:hAnsi="Helvetica" w:cs="Helvetica"/>
          <w:sz w:val="24"/>
          <w:sz-cs w:val="24"/>
          <w:spacing w:val="0"/>
          <w:color w:val="000000"/>
        </w:rPr>
        <w:t xml:space="preserve">* 4.3.4 Supply-Chain Volatility in Supercontinuum and UV Optics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Ecosystem Analysis</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Porter's Five Forces Analysis* 4.6.1 Threat of New Entrants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Offering* 5.1.1 Hardware</w:t>
      </w:r>
    </w:p>
    <w:p>
      <w:pPr/>
      <w:r>
        <w:rPr>
          <w:rFonts w:ascii="Helvetica" w:hAnsi="Helvetica" w:cs="Helvetica"/>
          <w:sz w:val="24"/>
          <w:sz-cs w:val="24"/>
          <w:spacing w:val="0"/>
          <w:color w:val="000000"/>
        </w:rPr>
        <w:t xml:space="preserve">* 5.1.1.1 Coordinate Measuring Machines (CMM)</w:t>
      </w:r>
    </w:p>
    <w:p>
      <w:pPr/>
      <w:r>
        <w:rPr>
          <w:rFonts w:ascii="Helvetica" w:hAnsi="Helvetica" w:cs="Helvetica"/>
          <w:sz w:val="24"/>
          <w:sz-cs w:val="24"/>
          <w:spacing w:val="0"/>
          <w:color w:val="000000"/>
        </w:rPr>
        <w:t xml:space="preserve">* 5.1.1.1.1 Bridge CMM</w:t>
      </w:r>
    </w:p>
    <w:p>
      <w:pPr/>
      <w:r>
        <w:rPr>
          <w:rFonts w:ascii="Helvetica" w:hAnsi="Helvetica" w:cs="Helvetica"/>
          <w:sz w:val="24"/>
          <w:sz-cs w:val="24"/>
          <w:spacing w:val="0"/>
          <w:color w:val="000000"/>
        </w:rPr>
        <w:t xml:space="preserve">* 5.1.1.1.2 Gantry CMM</w:t>
      </w:r>
    </w:p>
    <w:p>
      <w:pPr/>
      <w:r>
        <w:rPr>
          <w:rFonts w:ascii="Helvetica" w:hAnsi="Helvetica" w:cs="Helvetica"/>
          <w:sz w:val="24"/>
          <w:sz-cs w:val="24"/>
          <w:spacing w:val="0"/>
          <w:color w:val="000000"/>
        </w:rPr>
        <w:t xml:space="preserve">* 5.1.1.1.3 Articulated Arm CMM</w:t>
      </w:r>
    </w:p>
    <w:p>
      <w:pPr/>
      <w:r>
        <w:rPr>
          <w:rFonts w:ascii="Helvetica" w:hAnsi="Helvetica" w:cs="Helvetica"/>
          <w:sz w:val="24"/>
          <w:sz-cs w:val="24"/>
          <w:spacing w:val="0"/>
          <w:color w:val="000000"/>
        </w:rPr>
        <w:t xml:space="preserve">* 5.1.1.2 Optical Digitizers and Scanners (ODS)</w:t>
      </w:r>
    </w:p>
    <w:p>
      <w:pPr/>
      <w:r>
        <w:rPr>
          <w:rFonts w:ascii="Helvetica" w:hAnsi="Helvetica" w:cs="Helvetica"/>
          <w:sz w:val="24"/>
          <w:sz-cs w:val="24"/>
          <w:spacing w:val="0"/>
          <w:color w:val="000000"/>
        </w:rPr>
        <w:t xml:space="preserve">* 5.1.1.2.1 Structured-Light Scanner</w:t>
      </w:r>
    </w:p>
    <w:p>
      <w:pPr/>
      <w:r>
        <w:rPr>
          <w:rFonts w:ascii="Helvetica" w:hAnsi="Helvetica" w:cs="Helvetica"/>
          <w:sz w:val="24"/>
          <w:sz-cs w:val="24"/>
          <w:spacing w:val="0"/>
          <w:color w:val="000000"/>
        </w:rPr>
        <w:t xml:space="preserve">* 5.1.1.2.2 Laser Scanner</w:t>
      </w:r>
    </w:p>
    <w:p>
      <w:pPr/>
      <w:r>
        <w:rPr>
          <w:rFonts w:ascii="Helvetica" w:hAnsi="Helvetica" w:cs="Helvetica"/>
          <w:sz w:val="24"/>
          <w:sz-cs w:val="24"/>
          <w:spacing w:val="0"/>
          <w:color w:val="000000"/>
        </w:rPr>
        <w:t xml:space="preserve">* 5.1.1.3 Video Measuring Machines (VMM)</w:t>
      </w:r>
    </w:p>
    <w:p>
      <w:pPr/>
      <w:r>
        <w:rPr>
          <w:rFonts w:ascii="Helvetica" w:hAnsi="Helvetica" w:cs="Helvetica"/>
          <w:sz w:val="24"/>
          <w:sz-cs w:val="24"/>
          <w:spacing w:val="0"/>
          <w:color w:val="000000"/>
        </w:rPr>
        <w:t xml:space="preserve">* 5.1.2 Software</w:t>
      </w:r>
    </w:p>
    <w:p>
      <w:pPr/>
      <w:r>
        <w:rPr>
          <w:rFonts w:ascii="Helvetica" w:hAnsi="Helvetica" w:cs="Helvetica"/>
          <w:sz w:val="24"/>
          <w:sz-cs w:val="24"/>
          <w:spacing w:val="0"/>
          <w:color w:val="000000"/>
        </w:rPr>
        <w:t xml:space="preserve">* 5.1.2.1 Metrology Software</w:t>
      </w:r>
    </w:p>
    <w:p>
      <w:pPr/>
      <w:r>
        <w:rPr>
          <w:rFonts w:ascii="Helvetica" w:hAnsi="Helvetica" w:cs="Helvetica"/>
          <w:sz w:val="24"/>
          <w:sz-cs w:val="24"/>
          <w:spacing w:val="0"/>
          <w:color w:val="000000"/>
        </w:rPr>
        <w:t xml:space="preserve">* 5.1.2.2 Quality Inspection Software</w:t>
      </w:r>
    </w:p>
    <w:p>
      <w:pPr/>
      <w:r>
        <w:rPr>
          <w:rFonts w:ascii="Helvetica" w:hAnsi="Helvetica" w:cs="Helvetica"/>
          <w:sz w:val="24"/>
          <w:sz-cs w:val="24"/>
          <w:spacing w:val="0"/>
          <w:color w:val="000000"/>
        </w:rPr>
        <w:t xml:space="preserve">* 5.1.3 Services</w:t>
      </w:r>
    </w:p>
    <w:p>
      <w:pPr/>
      <w:r>
        <w:rPr>
          <w:rFonts w:ascii="Helvetica" w:hAnsi="Helvetica" w:cs="Helvetica"/>
          <w:sz w:val="24"/>
          <w:sz-cs w:val="24"/>
          <w:spacing w:val="0"/>
          <w:color w:val="000000"/>
        </w:rPr>
        <w:t xml:space="preserve">* 5.1.3.1 Calibration Services</w:t>
      </w:r>
    </w:p>
    <w:p>
      <w:pPr/>
      <w:r>
        <w:rPr>
          <w:rFonts w:ascii="Helvetica" w:hAnsi="Helvetica" w:cs="Helvetica"/>
          <w:sz w:val="24"/>
          <w:sz-cs w:val="24"/>
          <w:spacing w:val="0"/>
          <w:color w:val="000000"/>
        </w:rPr>
        <w:t xml:space="preserve">* 5.1.3.2 Maintenance and Retrofit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Dimension* 5.2.1 2D</w:t>
      </w:r>
    </w:p>
    <w:p>
      <w:pPr/>
      <w:r>
        <w:rPr>
          <w:rFonts w:ascii="Helvetica" w:hAnsi="Helvetica" w:cs="Helvetica"/>
          <w:sz w:val="24"/>
          <w:sz-cs w:val="24"/>
          <w:spacing w:val="0"/>
          <w:color w:val="000000"/>
        </w:rPr>
        <w:t xml:space="preserve">* 5.2.2 3D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Measurement Range* 5.3.1 Small and Medium Components (Less than 1 mÂ³)</w:t>
      </w:r>
    </w:p>
    <w:p>
      <w:pPr/>
      <w:r>
        <w:rPr>
          <w:rFonts w:ascii="Helvetica" w:hAnsi="Helvetica" w:cs="Helvetica"/>
          <w:sz w:val="24"/>
          <w:sz-cs w:val="24"/>
          <w:spacing w:val="0"/>
          <w:color w:val="000000"/>
        </w:rPr>
        <w:t xml:space="preserve">* 5.3.2 Large Volume (Above 1 mÂ³)</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Technique* 5.4.1 Laser Triangulation</w:t>
      </w:r>
    </w:p>
    <w:p>
      <w:pPr/>
      <w:r>
        <w:rPr>
          <w:rFonts w:ascii="Helvetica" w:hAnsi="Helvetica" w:cs="Helvetica"/>
          <w:sz w:val="24"/>
          <w:sz-cs w:val="24"/>
          <w:spacing w:val="0"/>
          <w:color w:val="000000"/>
        </w:rPr>
        <w:t xml:space="preserve">* 5.4.2 White-Light Interferometry</w:t>
      </w:r>
    </w:p>
    <w:p>
      <w:pPr/>
      <w:r>
        <w:rPr>
          <w:rFonts w:ascii="Helvetica" w:hAnsi="Helvetica" w:cs="Helvetica"/>
          <w:sz w:val="24"/>
          <w:sz-cs w:val="24"/>
          <w:spacing w:val="0"/>
          <w:color w:val="000000"/>
        </w:rPr>
        <w:t xml:space="preserve">* 5.4.3 Confocal Microscopy</w:t>
      </w:r>
    </w:p>
    <w:p>
      <w:pPr/>
      <w:r>
        <w:rPr>
          <w:rFonts w:ascii="Helvetica" w:hAnsi="Helvetica" w:cs="Helvetica"/>
          <w:sz w:val="24"/>
          <w:sz-cs w:val="24"/>
          <w:spacing w:val="0"/>
          <w:color w:val="000000"/>
        </w:rPr>
        <w:t xml:space="preserve">* 5.4.4 Time-of-Flight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5.5.1 Automotive</w:t>
      </w:r>
    </w:p>
    <w:p>
      <w:pPr/>
      <w:r>
        <w:rPr>
          <w:rFonts w:ascii="Helvetica" w:hAnsi="Helvetica" w:cs="Helvetica"/>
          <w:sz w:val="24"/>
          <w:sz-cs w:val="24"/>
          <w:spacing w:val="0"/>
          <w:color w:val="000000"/>
        </w:rPr>
        <w:t xml:space="preserve">* 5.5.1.1 ICE Vehicle Manufacturing</w:t>
      </w:r>
    </w:p>
    <w:p>
      <w:pPr/>
      <w:r>
        <w:rPr>
          <w:rFonts w:ascii="Helvetica" w:hAnsi="Helvetica" w:cs="Helvetica"/>
          <w:sz w:val="24"/>
          <w:sz-cs w:val="24"/>
          <w:spacing w:val="0"/>
          <w:color w:val="000000"/>
        </w:rPr>
        <w:t xml:space="preserve">* 5.5.1.2 Electric Vehicle and Battery</w:t>
      </w:r>
    </w:p>
    <w:p>
      <w:pPr/>
      <w:r>
        <w:rPr>
          <w:rFonts w:ascii="Helvetica" w:hAnsi="Helvetica" w:cs="Helvetica"/>
          <w:sz w:val="24"/>
          <w:sz-cs w:val="24"/>
          <w:spacing w:val="0"/>
          <w:color w:val="000000"/>
        </w:rPr>
        <w:t xml:space="preserve">* 5.5.2 Aerospace and Defense</w:t>
      </w:r>
    </w:p>
    <w:p>
      <w:pPr/>
      <w:r>
        <w:rPr>
          <w:rFonts w:ascii="Helvetica" w:hAnsi="Helvetica" w:cs="Helvetica"/>
          <w:sz w:val="24"/>
          <w:sz-cs w:val="24"/>
          <w:spacing w:val="0"/>
          <w:color w:val="000000"/>
        </w:rPr>
        <w:t xml:space="preserve">* 5.5.2.1 OEM Production</w:t>
      </w:r>
    </w:p>
    <w:p>
      <w:pPr/>
      <w:r>
        <w:rPr>
          <w:rFonts w:ascii="Helvetica" w:hAnsi="Helvetica" w:cs="Helvetica"/>
          <w:sz w:val="24"/>
          <w:sz-cs w:val="24"/>
          <w:spacing w:val="0"/>
          <w:color w:val="000000"/>
        </w:rPr>
        <w:t xml:space="preserve">* 5.5.2.2 Maintenance, Repair and Overhaul (MRO)</w:t>
      </w:r>
    </w:p>
    <w:p>
      <w:pPr/>
      <w:r>
        <w:rPr>
          <w:rFonts w:ascii="Helvetica" w:hAnsi="Helvetica" w:cs="Helvetica"/>
          <w:sz w:val="24"/>
          <w:sz-cs w:val="24"/>
          <w:spacing w:val="0"/>
          <w:color w:val="000000"/>
        </w:rPr>
        <w:t xml:space="preserve">* 5.5.3 Energy and Power</w:t>
      </w:r>
    </w:p>
    <w:p>
      <w:pPr/>
      <w:r>
        <w:rPr>
          <w:rFonts w:ascii="Helvetica" w:hAnsi="Helvetica" w:cs="Helvetica"/>
          <w:sz w:val="24"/>
          <w:sz-cs w:val="24"/>
          <w:spacing w:val="0"/>
          <w:color w:val="000000"/>
        </w:rPr>
        <w:t xml:space="preserve">* 5.5.3.1 Wind Turbine Blade Manufacturing</w:t>
      </w:r>
    </w:p>
    <w:p>
      <w:pPr/>
      <w:r>
        <w:rPr>
          <w:rFonts w:ascii="Helvetica" w:hAnsi="Helvetica" w:cs="Helvetica"/>
          <w:sz w:val="24"/>
          <w:sz-cs w:val="24"/>
          <w:spacing w:val="0"/>
          <w:color w:val="000000"/>
        </w:rPr>
        <w:t xml:space="preserve">* 5.5.3.2 Oil and Gas Equipment</w:t>
      </w:r>
    </w:p>
    <w:p>
      <w:pPr/>
      <w:r>
        <w:rPr>
          <w:rFonts w:ascii="Helvetica" w:hAnsi="Helvetica" w:cs="Helvetica"/>
          <w:sz w:val="24"/>
          <w:sz-cs w:val="24"/>
          <w:spacing w:val="0"/>
          <w:color w:val="000000"/>
        </w:rPr>
        <w:t xml:space="preserve">* 5.5.4 Electronics and Semiconductor</w:t>
      </w:r>
    </w:p>
    <w:p>
      <w:pPr/>
      <w:r>
        <w:rPr>
          <w:rFonts w:ascii="Helvetica" w:hAnsi="Helvetica" w:cs="Helvetica"/>
          <w:sz w:val="24"/>
          <w:sz-cs w:val="24"/>
          <w:spacing w:val="0"/>
          <w:color w:val="000000"/>
        </w:rPr>
        <w:t xml:space="preserve">* 5.5.4.1 Semiconductor Front-End</w:t>
      </w:r>
    </w:p>
    <w:p>
      <w:pPr/>
      <w:r>
        <w:rPr>
          <w:rFonts w:ascii="Helvetica" w:hAnsi="Helvetica" w:cs="Helvetica"/>
          <w:sz w:val="24"/>
          <w:sz-cs w:val="24"/>
          <w:spacing w:val="0"/>
          <w:color w:val="000000"/>
        </w:rPr>
        <w:t xml:space="preserve">* 5.5.4.2 PCB and SMT Assembly</w:t>
      </w:r>
    </w:p>
    <w:p>
      <w:pPr/>
      <w:r>
        <w:rPr>
          <w:rFonts w:ascii="Helvetica" w:hAnsi="Helvetica" w:cs="Helvetica"/>
          <w:sz w:val="24"/>
          <w:sz-cs w:val="24"/>
          <w:spacing w:val="0"/>
          <w:color w:val="000000"/>
        </w:rPr>
        <w:t xml:space="preserve">* 5.5.5 Industrial Machinery</w:t>
      </w:r>
    </w:p>
    <w:p>
      <w:pPr/>
      <w:r>
        <w:rPr>
          <w:rFonts w:ascii="Helvetica" w:hAnsi="Helvetica" w:cs="Helvetica"/>
          <w:sz w:val="24"/>
          <w:sz-cs w:val="24"/>
          <w:spacing w:val="0"/>
          <w:color w:val="000000"/>
        </w:rPr>
        <w:t xml:space="preserve">* 5.5.6 Medical Devices</w:t>
      </w:r>
    </w:p>
    <w:p>
      <w:pPr/>
      <w:r>
        <w:rPr>
          <w:rFonts w:ascii="Helvetica" w:hAnsi="Helvetica" w:cs="Helvetica"/>
          <w:sz w:val="24"/>
          <w:sz-cs w:val="24"/>
          <w:spacing w:val="0"/>
          <w:color w:val="000000"/>
        </w:rPr>
        <w:t xml:space="preserve">* 5.5.7 Research and Education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Nordics</w:t>
      </w:r>
    </w:p>
    <w:p>
      <w:pPr/>
      <w:r>
        <w:rPr>
          <w:rFonts w:ascii="Helvetica" w:hAnsi="Helvetica" w:cs="Helvetica"/>
          <w:sz w:val="24"/>
          <w:sz-cs w:val="24"/>
          <w:spacing w:val="0"/>
          <w:color w:val="000000"/>
        </w:rPr>
        <w:t xml:space="preserve">* 5.6.2.5 Rest of Europe</w:t>
      </w:r>
    </w:p>
    <w:p>
      <w:pPr/>
      <w:r>
        <w:rPr>
          <w:rFonts w:ascii="Helvetica" w:hAnsi="Helvetica" w:cs="Helvetica"/>
          <w:sz w:val="24"/>
          <w:sz-cs w:val="24"/>
          <w:spacing w:val="0"/>
          <w:color w:val="000000"/>
        </w:rPr>
        <w:t xml:space="preserve">* 5.6.3 South America</w:t>
      </w:r>
    </w:p>
    <w:p>
      <w:pPr/>
      <w:r>
        <w:rPr>
          <w:rFonts w:ascii="Helvetica" w:hAnsi="Helvetica" w:cs="Helvetica"/>
          <w:sz w:val="24"/>
          <w:sz-cs w:val="24"/>
          <w:spacing w:val="0"/>
          <w:color w:val="000000"/>
        </w:rPr>
        <w:t xml:space="preserve">* 5.6.3.1 Brazil</w:t>
      </w:r>
    </w:p>
    <w:p>
      <w:pPr/>
      <w:r>
        <w:rPr>
          <w:rFonts w:ascii="Helvetica" w:hAnsi="Helvetica" w:cs="Helvetica"/>
          <w:sz w:val="24"/>
          <w:sz-cs w:val="24"/>
          <w:spacing w:val="0"/>
          <w:color w:val="000000"/>
        </w:rPr>
        <w:t xml:space="preserve">* 5.6.3.2 Rest of South America</w:t>
      </w:r>
    </w:p>
    <w:p>
      <w:pPr/>
      <w:r>
        <w:rPr>
          <w:rFonts w:ascii="Helvetica" w:hAnsi="Helvetica" w:cs="Helvetica"/>
          <w:sz w:val="24"/>
          <w:sz-cs w:val="24"/>
          <w:spacing w:val="0"/>
          <w:color w:val="000000"/>
        </w:rPr>
        <w:t xml:space="preserve">* 5.6.4 Asia-Pacific</w:t>
      </w:r>
    </w:p>
    <w:p>
      <w:pPr/>
      <w:r>
        <w:rPr>
          <w:rFonts w:ascii="Helvetica" w:hAnsi="Helvetica" w:cs="Helvetica"/>
          <w:sz w:val="24"/>
          <w:sz-cs w:val="24"/>
          <w:spacing w:val="0"/>
          <w:color w:val="000000"/>
        </w:rPr>
        <w:t xml:space="preserve">* 5.6.4.1 China</w:t>
      </w:r>
    </w:p>
    <w:p>
      <w:pPr/>
      <w:r>
        <w:rPr>
          <w:rFonts w:ascii="Helvetica" w:hAnsi="Helvetica" w:cs="Helvetica"/>
          <w:sz w:val="24"/>
          <w:sz-cs w:val="24"/>
          <w:spacing w:val="0"/>
          <w:color w:val="000000"/>
        </w:rPr>
        <w:t xml:space="preserve">* 5.6.4.2 Japan</w:t>
      </w:r>
    </w:p>
    <w:p>
      <w:pPr/>
      <w:r>
        <w:rPr>
          <w:rFonts w:ascii="Helvetica" w:hAnsi="Helvetica" w:cs="Helvetica"/>
          <w:sz w:val="24"/>
          <w:sz-cs w:val="24"/>
          <w:spacing w:val="0"/>
          <w:color w:val="000000"/>
        </w:rPr>
        <w:t xml:space="preserve">* 5.6.4.3 India</w:t>
      </w:r>
    </w:p>
    <w:p>
      <w:pPr/>
      <w:r>
        <w:rPr>
          <w:rFonts w:ascii="Helvetica" w:hAnsi="Helvetica" w:cs="Helvetica"/>
          <w:sz w:val="24"/>
          <w:sz-cs w:val="24"/>
          <w:spacing w:val="0"/>
          <w:color w:val="000000"/>
        </w:rPr>
        <w:t xml:space="preserve">* 5.6.4.4 South-East Asia</w:t>
      </w:r>
    </w:p>
    <w:p>
      <w:pPr/>
      <w:r>
        <w:rPr>
          <w:rFonts w:ascii="Helvetica" w:hAnsi="Helvetica" w:cs="Helvetica"/>
          <w:sz w:val="24"/>
          <w:sz-cs w:val="24"/>
          <w:spacing w:val="0"/>
          <w:color w:val="000000"/>
        </w:rPr>
        <w:t xml:space="preserve">* 5.6.4.5 Rest of Asia-Pacific</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Middle East</w:t>
      </w:r>
    </w:p>
    <w:p>
      <w:pPr/>
      <w:r>
        <w:rPr>
          <w:rFonts w:ascii="Helvetica" w:hAnsi="Helvetica" w:cs="Helvetica"/>
          <w:sz w:val="24"/>
          <w:sz-cs w:val="24"/>
          <w:spacing w:val="0"/>
          <w:color w:val="000000"/>
        </w:rPr>
        <w:t xml:space="preserve">* 5.6.5.1.1 Gulf Cooperation Council Countries</w:t>
      </w:r>
    </w:p>
    <w:p>
      <w:pPr/>
      <w:r>
        <w:rPr>
          <w:rFonts w:ascii="Helvetica" w:hAnsi="Helvetica" w:cs="Helvetica"/>
          <w:sz w:val="24"/>
          <w:sz-cs w:val="24"/>
          <w:spacing w:val="0"/>
          <w:color w:val="000000"/>
        </w:rPr>
        <w:t xml:space="preserve">* 5.6.5.1.2 Turkey</w:t>
      </w:r>
    </w:p>
    <w:p>
      <w:pPr/>
      <w:r>
        <w:rPr>
          <w:rFonts w:ascii="Helvetica" w:hAnsi="Helvetica" w:cs="Helvetica"/>
          <w:sz w:val="24"/>
          <w:sz-cs w:val="24"/>
          <w:spacing w:val="0"/>
          <w:color w:val="000000"/>
        </w:rPr>
        <w:t xml:space="preserve">* 5.6.5.1.3 Rest of Middle East</w:t>
      </w:r>
    </w:p>
    <w:p>
      <w:pPr/>
      <w:r>
        <w:rPr>
          <w:rFonts w:ascii="Helvetica" w:hAnsi="Helvetica" w:cs="Helvetica"/>
          <w:sz w:val="24"/>
          <w:sz-cs w:val="24"/>
          <w:spacing w:val="0"/>
          <w:color w:val="000000"/>
        </w:rPr>
        <w:t xml:space="preserve">* 5.6.5.2 Africa</w:t>
      </w:r>
    </w:p>
    <w:p>
      <w:pPr/>
      <w:r>
        <w:rPr>
          <w:rFonts w:ascii="Helvetica" w:hAnsi="Helvetica" w:cs="Helvetica"/>
          <w:sz w:val="24"/>
          <w:sz-cs w:val="24"/>
          <w:spacing w:val="0"/>
          <w:color w:val="000000"/>
        </w:rPr>
        <w:t xml:space="preserve">* 5.6.5.2.1 South Africa</w:t>
      </w:r>
    </w:p>
    <w:p>
      <w:pPr/>
      <w:r>
        <w:rPr>
          <w:rFonts w:ascii="Helvetica" w:hAnsi="Helvetica" w:cs="Helvetica"/>
          <w:sz w:val="24"/>
          <w:sz-cs w:val="24"/>
          <w:spacing w:val="0"/>
          <w:color w:val="000000"/>
        </w:rPr>
        <w:t xml:space="preserve">* 5.6.5.2.2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and Recent Developments)* 6.4.1 Hexagon AB</w:t>
      </w:r>
    </w:p>
    <w:p>
      <w:pPr/>
      <w:r>
        <w:rPr>
          <w:rFonts w:ascii="Helvetica" w:hAnsi="Helvetica" w:cs="Helvetica"/>
          <w:sz w:val="24"/>
          <w:sz-cs w:val="24"/>
          <w:spacing w:val="0"/>
          <w:color w:val="000000"/>
        </w:rPr>
        <w:t xml:space="preserve">* 6.4.2 Carl Zeiss AG</w:t>
      </w:r>
    </w:p>
    <w:p>
      <w:pPr/>
      <w:r>
        <w:rPr>
          <w:rFonts w:ascii="Helvetica" w:hAnsi="Helvetica" w:cs="Helvetica"/>
          <w:sz w:val="24"/>
          <w:sz-cs w:val="24"/>
          <w:spacing w:val="0"/>
          <w:color w:val="000000"/>
        </w:rPr>
        <w:t xml:space="preserve">* 6.4.3 Nikon Corporation (Nikon Metrology)</w:t>
      </w:r>
    </w:p>
    <w:p>
      <w:pPr/>
      <w:r>
        <w:rPr>
          <w:rFonts w:ascii="Helvetica" w:hAnsi="Helvetica" w:cs="Helvetica"/>
          <w:sz w:val="24"/>
          <w:sz-cs w:val="24"/>
          <w:spacing w:val="0"/>
          <w:color w:val="000000"/>
        </w:rPr>
        <w:t xml:space="preserve">* 6.4.4 FARO Technologies Inc.</w:t>
      </w:r>
    </w:p>
    <w:p>
      <w:pPr/>
      <w:r>
        <w:rPr>
          <w:rFonts w:ascii="Helvetica" w:hAnsi="Helvetica" w:cs="Helvetica"/>
          <w:sz w:val="24"/>
          <w:sz-cs w:val="24"/>
          <w:spacing w:val="0"/>
          <w:color w:val="000000"/>
        </w:rPr>
        <w:t xml:space="preserve">* 6.4.5 Mitutoyo Corporation</w:t>
      </w:r>
    </w:p>
    <w:p>
      <w:pPr/>
      <w:r>
        <w:rPr>
          <w:rFonts w:ascii="Helvetica" w:hAnsi="Helvetica" w:cs="Helvetica"/>
          <w:sz w:val="24"/>
          <w:sz-cs w:val="24"/>
          <w:spacing w:val="0"/>
          <w:color w:val="000000"/>
        </w:rPr>
        <w:t xml:space="preserve">* 6.4.6 Keyence Corporation</w:t>
      </w:r>
    </w:p>
    <w:p>
      <w:pPr/>
      <w:r>
        <w:rPr>
          <w:rFonts w:ascii="Helvetica" w:hAnsi="Helvetica" w:cs="Helvetica"/>
          <w:sz w:val="24"/>
          <w:sz-cs w:val="24"/>
          <w:spacing w:val="0"/>
          <w:color w:val="000000"/>
        </w:rPr>
        <w:t xml:space="preserve">* 6.4.7 Renishaw plc</w:t>
      </w:r>
    </w:p>
    <w:p>
      <w:pPr/>
      <w:r>
        <w:rPr>
          <w:rFonts w:ascii="Helvetica" w:hAnsi="Helvetica" w:cs="Helvetica"/>
          <w:sz w:val="24"/>
          <w:sz-cs w:val="24"/>
          <w:spacing w:val="0"/>
          <w:color w:val="000000"/>
        </w:rPr>
        <w:t xml:space="preserve">* 6.4.8 GOM GmbH (ZEISS IQS)</w:t>
      </w:r>
    </w:p>
    <w:p>
      <w:pPr/>
      <w:r>
        <w:rPr>
          <w:rFonts w:ascii="Helvetica" w:hAnsi="Helvetica" w:cs="Helvetica"/>
          <w:sz w:val="24"/>
          <w:sz-cs w:val="24"/>
          <w:spacing w:val="0"/>
          <w:color w:val="000000"/>
        </w:rPr>
        <w:t xml:space="preserve">* 6.4.9 Zygo Corporation (AMETEK Inc.)</w:t>
      </w:r>
    </w:p>
    <w:p>
      <w:pPr/>
      <w:r>
        <w:rPr>
          <w:rFonts w:ascii="Helvetica" w:hAnsi="Helvetica" w:cs="Helvetica"/>
          <w:sz w:val="24"/>
          <w:sz-cs w:val="24"/>
          <w:spacing w:val="0"/>
          <w:color w:val="000000"/>
        </w:rPr>
        <w:t xml:space="preserve">* 6.4.10 Jenoptik AG</w:t>
      </w:r>
    </w:p>
    <w:p>
      <w:pPr/>
      <w:r>
        <w:rPr>
          <w:rFonts w:ascii="Helvetica" w:hAnsi="Helvetica" w:cs="Helvetica"/>
          <w:sz w:val="24"/>
          <w:sz-cs w:val="24"/>
          <w:spacing w:val="0"/>
          <w:color w:val="000000"/>
        </w:rPr>
        <w:t xml:space="preserve">* 6.4.11 Creaform Inc. (AMETEK Inc.)</w:t>
      </w:r>
    </w:p>
    <w:p>
      <w:pPr/>
      <w:r>
        <w:rPr>
          <w:rFonts w:ascii="Helvetica" w:hAnsi="Helvetica" w:cs="Helvetica"/>
          <w:sz w:val="24"/>
          <w:sz-cs w:val="24"/>
          <w:spacing w:val="0"/>
          <w:color w:val="000000"/>
        </w:rPr>
        <w:t xml:space="preserve">* 6.4.12 KLA Corporation</w:t>
      </w:r>
    </w:p>
    <w:p>
      <w:pPr/>
      <w:r>
        <w:rPr>
          <w:rFonts w:ascii="Helvetica" w:hAnsi="Helvetica" w:cs="Helvetica"/>
          <w:sz w:val="24"/>
          <w:sz-cs w:val="24"/>
          <w:spacing w:val="0"/>
          <w:color w:val="000000"/>
        </w:rPr>
        <w:t xml:space="preserve">* 6.4.13 Bruker Corporation</w:t>
      </w:r>
    </w:p>
    <w:p>
      <w:pPr/>
      <w:r>
        <w:rPr>
          <w:rFonts w:ascii="Helvetica" w:hAnsi="Helvetica" w:cs="Helvetica"/>
          <w:sz w:val="24"/>
          <w:sz-cs w:val="24"/>
          <w:spacing w:val="0"/>
          <w:color w:val="000000"/>
        </w:rPr>
        <w:t xml:space="preserve">* 6.4.14 Perceptron Inc. (Atlas Copco)</w:t>
      </w:r>
    </w:p>
    <w:p>
      <w:pPr/>
      <w:r>
        <w:rPr>
          <w:rFonts w:ascii="Helvetica" w:hAnsi="Helvetica" w:cs="Helvetica"/>
          <w:sz w:val="24"/>
          <w:sz-cs w:val="24"/>
          <w:spacing w:val="0"/>
          <w:color w:val="000000"/>
        </w:rPr>
        <w:t xml:space="preserve">* 6.4.15 Vision Engineering Ltd.</w:t>
      </w:r>
    </w:p>
    <w:p>
      <w:pPr/>
      <w:r>
        <w:rPr>
          <w:rFonts w:ascii="Helvetica" w:hAnsi="Helvetica" w:cs="Helvetica"/>
          <w:sz w:val="24"/>
          <w:sz-cs w:val="24"/>
          <w:spacing w:val="0"/>
          <w:color w:val="000000"/>
        </w:rPr>
        <w:t xml:space="preserve">* 6.4.16 InnovMetric Software Inc.</w:t>
      </w:r>
    </w:p>
    <w:p>
      <w:pPr/>
      <w:r>
        <w:rPr>
          <w:rFonts w:ascii="Helvetica" w:hAnsi="Helvetica" w:cs="Helvetica"/>
          <w:sz w:val="24"/>
          <w:sz-cs w:val="24"/>
          <w:spacing w:val="0"/>
          <w:color w:val="000000"/>
        </w:rPr>
        <w:t xml:space="preserve">* 6.4.17 ISRA VISION AG</w:t>
      </w:r>
    </w:p>
    <w:p>
      <w:pPr/>
      <w:r>
        <w:rPr>
          <w:rFonts w:ascii="Helvetica" w:hAnsi="Helvetica" w:cs="Helvetica"/>
          <w:sz w:val="24"/>
          <w:sz-cs w:val="24"/>
          <w:spacing w:val="0"/>
          <w:color w:val="000000"/>
        </w:rPr>
        <w:t xml:space="preserve">* 6.4.18 WENZEL Group GmbH and Co. KG</w:t>
      </w:r>
    </w:p>
    <w:p>
      <w:pPr/>
      <w:r>
        <w:rPr>
          <w:rFonts w:ascii="Helvetica" w:hAnsi="Helvetica" w:cs="Helvetica"/>
          <w:sz w:val="24"/>
          <w:sz-cs w:val="24"/>
          <w:spacing w:val="0"/>
          <w:color w:val="000000"/>
        </w:rPr>
        <w:t xml:space="preserve">* 6.4.19 HORIBA, Ltd.</w:t>
      </w:r>
    </w:p>
    <w:p>
      <w:pPr/>
      <w:r>
        <w:rPr>
          <w:rFonts w:ascii="Helvetica" w:hAnsi="Helvetica" w:cs="Helvetica"/>
          <w:sz w:val="24"/>
          <w:sz-cs w:val="24"/>
          <w:spacing w:val="0"/>
          <w:color w:val="000000"/>
        </w:rPr>
        <w:t xml:space="preserve">* 6.4.20 LMI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*List of vendors is dynamic and will be updated based on customized study scope</w:t>
      </w:r>
    </w:p>
    <w:p>
      <w:pPr/>
      <w:r>
        <w:rPr>
          <w:rFonts w:ascii="Helvetica" w:hAnsi="Helvetica" w:cs="Helvetica"/>
          <w:sz w:val="24"/>
          <w:sz-cs w:val="24"/>
          <w:spacing w:val="0"/>
          <w:color w:val="000000"/>
        </w:rPr>
        <w:t xml:space="preserve">Global Optical Measurement Market Report ScopeThe optical measurement market encompasses the development, production, and application of technologies that use light, whether visible, infrared, or ultraviolet, to measure and analyze physical properties such as distance, shape, thickness, surface roughness, temperature, and displacement.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study tracks the revenue accrued through the sale of optical measurements by various players across the globe. It also tracks the key market parameters, underlying growth influencers, and major vendors operating in the industry, which supports the market estimations and growth rates over the forecast period. The study further analyses the overall impact of COVID-19 aftereffects and other macroeconomic factors on the market. The reportâ€™s scope encompasses market sizing and forecasts for the various market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measurement market is segmented by offering (hardware and software), end-user (automotive, aerospace &amp; defense, energy and power, electronics manufacturing, industrial, medical, and others), and geography (North America, Europe, Asia Pacific, Middle East and Africa, and Latin America. The market sizes and forecasts regarding value (USD) for all the above segments are provided.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Offering | Hardware | Coordinate Measuring Machines (CMM) | Bridge CMM | </w:t>
      </w:r>
    </w:p>
    <w:p>
      <w:pPr/>
      <w:r>
        <w:rPr>
          <w:rFonts w:ascii="Helvetica" w:hAnsi="Helvetica" w:cs="Helvetica"/>
          <w:sz w:val="24"/>
          <w:sz-cs w:val="24"/>
          <w:spacing w:val="0"/>
          <w:color w:val="000000"/>
        </w:rPr>
        <w:t xml:space="preserve"> | | | Gantry CMM | </w:t>
      </w:r>
    </w:p>
    <w:p>
      <w:pPr/>
      <w:r>
        <w:rPr>
          <w:rFonts w:ascii="Helvetica" w:hAnsi="Helvetica" w:cs="Helvetica"/>
          <w:sz w:val="24"/>
          <w:sz-cs w:val="24"/>
          <w:spacing w:val="0"/>
          <w:color w:val="000000"/>
        </w:rPr>
        <w:t xml:space="preserve"> | | | Articulated Arm CMM | </w:t>
      </w:r>
    </w:p>
    <w:p>
      <w:pPr/>
      <w:r>
        <w:rPr>
          <w:rFonts w:ascii="Helvetica" w:hAnsi="Helvetica" w:cs="Helvetica"/>
          <w:sz w:val="24"/>
          <w:sz-cs w:val="24"/>
          <w:spacing w:val="0"/>
          <w:color w:val="000000"/>
        </w:rPr>
        <w:t xml:space="preserve"> | | Optical Digitizers and Scanners (ODS) | Structured-Light Scanner | </w:t>
      </w:r>
    </w:p>
    <w:p>
      <w:pPr/>
      <w:r>
        <w:rPr>
          <w:rFonts w:ascii="Helvetica" w:hAnsi="Helvetica" w:cs="Helvetica"/>
          <w:sz w:val="24"/>
          <w:sz-cs w:val="24"/>
          <w:spacing w:val="0"/>
          <w:color w:val="000000"/>
        </w:rPr>
        <w:t xml:space="preserve"> | | | Laser Scanner | </w:t>
      </w:r>
    </w:p>
    <w:p>
      <w:pPr/>
      <w:r>
        <w:rPr>
          <w:rFonts w:ascii="Helvetica" w:hAnsi="Helvetica" w:cs="Helvetica"/>
          <w:sz w:val="24"/>
          <w:sz-cs w:val="24"/>
          <w:spacing w:val="0"/>
          <w:color w:val="000000"/>
        </w:rPr>
        <w:t xml:space="preserve"> | | Video Measuring Machines (VMM) | | </w:t>
      </w:r>
    </w:p>
    <w:p>
      <w:pPr/>
      <w:r>
        <w:rPr>
          <w:rFonts w:ascii="Helvetica" w:hAnsi="Helvetica" w:cs="Helvetica"/>
          <w:sz w:val="24"/>
          <w:sz-cs w:val="24"/>
          <w:spacing w:val="0"/>
          <w:color w:val="000000"/>
        </w:rPr>
        <w:t xml:space="preserve"> | Software | Metrology Software | | </w:t>
      </w:r>
    </w:p>
    <w:p>
      <w:pPr/>
      <w:r>
        <w:rPr>
          <w:rFonts w:ascii="Helvetica" w:hAnsi="Helvetica" w:cs="Helvetica"/>
          <w:sz w:val="24"/>
          <w:sz-cs w:val="24"/>
          <w:spacing w:val="0"/>
          <w:color w:val="000000"/>
        </w:rPr>
        <w:t xml:space="preserve"> | | Quality Inspection Software | | </w:t>
      </w:r>
    </w:p>
    <w:p>
      <w:pPr/>
      <w:r>
        <w:rPr>
          <w:rFonts w:ascii="Helvetica" w:hAnsi="Helvetica" w:cs="Helvetica"/>
          <w:sz w:val="24"/>
          <w:sz-cs w:val="24"/>
          <w:spacing w:val="0"/>
          <w:color w:val="000000"/>
        </w:rPr>
        <w:t xml:space="preserve"> | Services | Calibration Services | | </w:t>
      </w:r>
    </w:p>
    <w:p>
      <w:pPr/>
      <w:r>
        <w:rPr>
          <w:rFonts w:ascii="Helvetica" w:hAnsi="Helvetica" w:cs="Helvetica"/>
          <w:sz w:val="24"/>
          <w:sz-cs w:val="24"/>
          <w:spacing w:val="0"/>
          <w:color w:val="000000"/>
        </w:rPr>
        <w:t xml:space="preserve"> | | Maintenance and Retrofit |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Dimension | 2D | | | </w:t>
      </w:r>
    </w:p>
    <w:p>
      <w:pPr/>
      <w:r>
        <w:rPr>
          <w:rFonts w:ascii="Helvetica" w:hAnsi="Helvetica" w:cs="Helvetica"/>
          <w:sz w:val="24"/>
          <w:sz-cs w:val="24"/>
          <w:spacing w:val="0"/>
          <w:color w:val="000000"/>
        </w:rPr>
        <w:t xml:space="preserve"> | 3D | |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Measurement Range | Small and Medium Components (Less than 1 mÂ³) | | | </w:t>
      </w:r>
    </w:p>
    <w:p>
      <w:pPr/>
      <w:r>
        <w:rPr>
          <w:rFonts w:ascii="Helvetica" w:hAnsi="Helvetica" w:cs="Helvetica"/>
          <w:sz w:val="24"/>
          <w:sz-cs w:val="24"/>
          <w:spacing w:val="0"/>
          <w:color w:val="000000"/>
        </w:rPr>
        <w:t xml:space="preserve"> | Large Volume (Above 1 mÂ³) | |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Technique | Laser Triangulation | | | </w:t>
      </w:r>
    </w:p>
    <w:p>
      <w:pPr/>
      <w:r>
        <w:rPr>
          <w:rFonts w:ascii="Helvetica" w:hAnsi="Helvetica" w:cs="Helvetica"/>
          <w:sz w:val="24"/>
          <w:sz-cs w:val="24"/>
          <w:spacing w:val="0"/>
          <w:color w:val="000000"/>
        </w:rPr>
        <w:t xml:space="preserve"> | White-Light Interferometry | | | </w:t>
      </w:r>
    </w:p>
    <w:p>
      <w:pPr/>
      <w:r>
        <w:rPr>
          <w:rFonts w:ascii="Helvetica" w:hAnsi="Helvetica" w:cs="Helvetica"/>
          <w:sz w:val="24"/>
          <w:sz-cs w:val="24"/>
          <w:spacing w:val="0"/>
          <w:color w:val="000000"/>
        </w:rPr>
        <w:t xml:space="preserve"> | Confocal Microscopy | | | </w:t>
      </w:r>
    </w:p>
    <w:p>
      <w:pPr/>
      <w:r>
        <w:rPr>
          <w:rFonts w:ascii="Helvetica" w:hAnsi="Helvetica" w:cs="Helvetica"/>
          <w:sz w:val="24"/>
          <w:sz-cs w:val="24"/>
          <w:spacing w:val="0"/>
          <w:color w:val="000000"/>
        </w:rPr>
        <w:t xml:space="preserve"> | Time-of-Flight | |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End-user | Automotive | ICE Vehicle Manufacturing | | </w:t>
      </w:r>
    </w:p>
    <w:p>
      <w:pPr/>
      <w:r>
        <w:rPr>
          <w:rFonts w:ascii="Helvetica" w:hAnsi="Helvetica" w:cs="Helvetica"/>
          <w:sz w:val="24"/>
          <w:sz-cs w:val="24"/>
          <w:spacing w:val="0"/>
          <w:color w:val="000000"/>
        </w:rPr>
        <w:t xml:space="preserve"> | | Electric Vehicle and Battery | | </w:t>
      </w:r>
    </w:p>
    <w:p>
      <w:pPr/>
      <w:r>
        <w:rPr>
          <w:rFonts w:ascii="Helvetica" w:hAnsi="Helvetica" w:cs="Helvetica"/>
          <w:sz w:val="24"/>
          <w:sz-cs w:val="24"/>
          <w:spacing w:val="0"/>
          <w:color w:val="000000"/>
        </w:rPr>
        <w:t xml:space="preserve"> | Aerospace and Defense | OEM Production | | </w:t>
      </w:r>
    </w:p>
    <w:p>
      <w:pPr/>
      <w:r>
        <w:rPr>
          <w:rFonts w:ascii="Helvetica" w:hAnsi="Helvetica" w:cs="Helvetica"/>
          <w:sz w:val="24"/>
          <w:sz-cs w:val="24"/>
          <w:spacing w:val="0"/>
          <w:color w:val="000000"/>
        </w:rPr>
        <w:t xml:space="preserve"> | | Maintenance, Repair and Overhaul (MRO) | | </w:t>
      </w:r>
    </w:p>
    <w:p>
      <w:pPr/>
      <w:r>
        <w:rPr>
          <w:rFonts w:ascii="Helvetica" w:hAnsi="Helvetica" w:cs="Helvetica"/>
          <w:sz w:val="24"/>
          <w:sz-cs w:val="24"/>
          <w:spacing w:val="0"/>
          <w:color w:val="000000"/>
        </w:rPr>
        <w:t xml:space="preserve"> | Energy and Power | Wind Turbine Blade Manufacturing | | </w:t>
      </w:r>
    </w:p>
    <w:p>
      <w:pPr/>
      <w:r>
        <w:rPr>
          <w:rFonts w:ascii="Helvetica" w:hAnsi="Helvetica" w:cs="Helvetica"/>
          <w:sz w:val="24"/>
          <w:sz-cs w:val="24"/>
          <w:spacing w:val="0"/>
          <w:color w:val="000000"/>
        </w:rPr>
        <w:t xml:space="preserve"> | | Oil and Gas Equipment | | </w:t>
      </w:r>
    </w:p>
    <w:p>
      <w:pPr/>
      <w:r>
        <w:rPr>
          <w:rFonts w:ascii="Helvetica" w:hAnsi="Helvetica" w:cs="Helvetica"/>
          <w:sz w:val="24"/>
          <w:sz-cs w:val="24"/>
          <w:spacing w:val="0"/>
          <w:color w:val="000000"/>
        </w:rPr>
        <w:t xml:space="preserve"> | Electronics and Semiconductor | Semiconductor Front-End | | </w:t>
      </w:r>
    </w:p>
    <w:p>
      <w:pPr/>
      <w:r>
        <w:rPr>
          <w:rFonts w:ascii="Helvetica" w:hAnsi="Helvetica" w:cs="Helvetica"/>
          <w:sz w:val="24"/>
          <w:sz-cs w:val="24"/>
          <w:spacing w:val="0"/>
          <w:color w:val="000000"/>
        </w:rPr>
        <w:t xml:space="preserve"> | | PCB and SMT Assembly | | </w:t>
      </w:r>
    </w:p>
    <w:p>
      <w:pPr/>
      <w:r>
        <w:rPr>
          <w:rFonts w:ascii="Helvetica" w:hAnsi="Helvetica" w:cs="Helvetica"/>
          <w:sz w:val="24"/>
          <w:sz-cs w:val="24"/>
          <w:spacing w:val="0"/>
          <w:color w:val="000000"/>
        </w:rPr>
        <w:t xml:space="preserve"> | Industrial Machinery | | | </w:t>
      </w:r>
    </w:p>
    <w:p>
      <w:pPr/>
      <w:r>
        <w:rPr>
          <w:rFonts w:ascii="Helvetica" w:hAnsi="Helvetica" w:cs="Helvetica"/>
          <w:sz w:val="24"/>
          <w:sz-cs w:val="24"/>
          <w:spacing w:val="0"/>
          <w:color w:val="000000"/>
        </w:rPr>
        <w:t xml:space="preserve"> | Medical Devices | | | </w:t>
      </w:r>
    </w:p>
    <w:p>
      <w:pPr/>
      <w:r>
        <w:rPr>
          <w:rFonts w:ascii="Helvetica" w:hAnsi="Helvetica" w:cs="Helvetica"/>
          <w:sz w:val="24"/>
          <w:sz-cs w:val="24"/>
          <w:spacing w:val="0"/>
          <w:color w:val="000000"/>
        </w:rPr>
        <w:t xml:space="preserve"> | Research and Education | |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 </w:t>
      </w:r>
    </w:p>
    <w:p>
      <w:pPr/>
      <w:r>
        <w:rPr>
          <w:rFonts w:ascii="Helvetica" w:hAnsi="Helvetica" w:cs="Helvetica"/>
          <w:sz w:val="24"/>
          <w:sz-cs w:val="24"/>
          <w:spacing w:val="0"/>
          <w:color w:val="000000"/>
        </w:rPr>
        <w:t xml:space="preserve"> | | Canada | | </w:t>
      </w:r>
    </w:p>
    <w:p>
      <w:pPr/>
      <w:r>
        <w:rPr>
          <w:rFonts w:ascii="Helvetica" w:hAnsi="Helvetica" w:cs="Helvetica"/>
          <w:sz w:val="24"/>
          <w:sz-cs w:val="24"/>
          <w:spacing w:val="0"/>
          <w:color w:val="000000"/>
        </w:rPr>
        <w:t xml:space="preserve"> | | Mexico | | </w:t>
      </w:r>
    </w:p>
    <w:p>
      <w:pPr/>
      <w:r>
        <w:rPr>
          <w:rFonts w:ascii="Helvetica" w:hAnsi="Helvetica" w:cs="Helvetica"/>
          <w:sz w:val="24"/>
          <w:sz-cs w:val="24"/>
          <w:spacing w:val="0"/>
          <w:color w:val="000000"/>
        </w:rPr>
        <w:t xml:space="preserve"> | Europe | Germany | | </w:t>
      </w:r>
    </w:p>
    <w:p>
      <w:pPr/>
      <w:r>
        <w:rPr>
          <w:rFonts w:ascii="Helvetica" w:hAnsi="Helvetica" w:cs="Helvetica"/>
          <w:sz w:val="24"/>
          <w:sz-cs w:val="24"/>
          <w:spacing w:val="0"/>
          <w:color w:val="000000"/>
        </w:rPr>
        <w:t xml:space="preserve"> | | United Kingdom | | </w:t>
      </w:r>
    </w:p>
    <w:p>
      <w:pPr/>
      <w:r>
        <w:rPr>
          <w:rFonts w:ascii="Helvetica" w:hAnsi="Helvetica" w:cs="Helvetica"/>
          <w:sz w:val="24"/>
          <w:sz-cs w:val="24"/>
          <w:spacing w:val="0"/>
          <w:color w:val="000000"/>
        </w:rPr>
        <w:t xml:space="preserve"> | | France | | </w:t>
      </w:r>
    </w:p>
    <w:p>
      <w:pPr/>
      <w:r>
        <w:rPr>
          <w:rFonts w:ascii="Helvetica" w:hAnsi="Helvetica" w:cs="Helvetica"/>
          <w:sz w:val="24"/>
          <w:sz-cs w:val="24"/>
          <w:spacing w:val="0"/>
          <w:color w:val="000000"/>
        </w:rPr>
        <w:t xml:space="preserve"> | | Nordics | | </w:t>
      </w:r>
    </w:p>
    <w:p>
      <w:pPr/>
      <w:r>
        <w:rPr>
          <w:rFonts w:ascii="Helvetica" w:hAnsi="Helvetica" w:cs="Helvetica"/>
          <w:sz w:val="24"/>
          <w:sz-cs w:val="24"/>
          <w:spacing w:val="0"/>
          <w:color w:val="000000"/>
        </w:rPr>
        <w:t xml:space="preserve"> | | Rest of Europe | | </w:t>
      </w:r>
    </w:p>
    <w:p>
      <w:pPr/>
      <w:r>
        <w:rPr>
          <w:rFonts w:ascii="Helvetica" w:hAnsi="Helvetica" w:cs="Helvetica"/>
          <w:sz w:val="24"/>
          <w:sz-cs w:val="24"/>
          <w:spacing w:val="0"/>
          <w:color w:val="000000"/>
        </w:rPr>
        <w:t xml:space="preserve"> | South America | Brazil | | </w:t>
      </w:r>
    </w:p>
    <w:p>
      <w:pPr/>
      <w:r>
        <w:rPr>
          <w:rFonts w:ascii="Helvetica" w:hAnsi="Helvetica" w:cs="Helvetica"/>
          <w:sz w:val="24"/>
          <w:sz-cs w:val="24"/>
          <w:spacing w:val="0"/>
          <w:color w:val="000000"/>
        </w:rPr>
        <w:t xml:space="preserve"> | | Rest of South America | | </w:t>
      </w:r>
    </w:p>
    <w:p>
      <w:pPr/>
      <w:r>
        <w:rPr>
          <w:rFonts w:ascii="Helvetica" w:hAnsi="Helvetica" w:cs="Helvetica"/>
          <w:sz w:val="24"/>
          <w:sz-cs w:val="24"/>
          <w:spacing w:val="0"/>
          <w:color w:val="000000"/>
        </w:rPr>
        <w:t xml:space="preserve"> | Asia-Pacific | China | | </w:t>
      </w:r>
    </w:p>
    <w:p>
      <w:pPr/>
      <w:r>
        <w:rPr>
          <w:rFonts w:ascii="Helvetica" w:hAnsi="Helvetica" w:cs="Helvetica"/>
          <w:sz w:val="24"/>
          <w:sz-cs w:val="24"/>
          <w:spacing w:val="0"/>
          <w:color w:val="000000"/>
        </w:rPr>
        <w:t xml:space="preserve"> | | Japan | | </w:t>
      </w:r>
    </w:p>
    <w:p>
      <w:pPr/>
      <w:r>
        <w:rPr>
          <w:rFonts w:ascii="Helvetica" w:hAnsi="Helvetica" w:cs="Helvetica"/>
          <w:sz w:val="24"/>
          <w:sz-cs w:val="24"/>
          <w:spacing w:val="0"/>
          <w:color w:val="000000"/>
        </w:rPr>
        <w:t xml:space="preserve"> | | India | | </w:t>
      </w:r>
    </w:p>
    <w:p>
      <w:pPr/>
      <w:r>
        <w:rPr>
          <w:rFonts w:ascii="Helvetica" w:hAnsi="Helvetica" w:cs="Helvetica"/>
          <w:sz w:val="24"/>
          <w:sz-cs w:val="24"/>
          <w:spacing w:val="0"/>
          <w:color w:val="000000"/>
        </w:rPr>
        <w:t xml:space="preserve"> | | South-East Asia | | </w:t>
      </w:r>
    </w:p>
    <w:p>
      <w:pPr/>
      <w:r>
        <w:rPr>
          <w:rFonts w:ascii="Helvetica" w:hAnsi="Helvetica" w:cs="Helvetica"/>
          <w:sz w:val="24"/>
          <w:sz-cs w:val="24"/>
          <w:spacing w:val="0"/>
          <w:color w:val="000000"/>
        </w:rPr>
        <w:t xml:space="preserve"> | | Rest of Asia-Pacific | | </w:t>
      </w:r>
    </w:p>
    <w:p>
      <w:pPr/>
      <w:r>
        <w:rPr>
          <w:rFonts w:ascii="Helvetica" w:hAnsi="Helvetica" w:cs="Helvetica"/>
          <w:sz w:val="24"/>
          <w:sz-cs w:val="24"/>
          <w:spacing w:val="0"/>
          <w:color w:val="000000"/>
        </w:rPr>
        <w:t xml:space="preserve"> | Middle East and Africa | Middle East | Gulf Cooperation Council Countries | </w:t>
      </w:r>
    </w:p>
    <w:p>
      <w:pPr/>
      <w:r>
        <w:rPr>
          <w:rFonts w:ascii="Helvetica" w:hAnsi="Helvetica" w:cs="Helvetica"/>
          <w:sz w:val="24"/>
          <w:sz-cs w:val="24"/>
          <w:spacing w:val="0"/>
          <w:color w:val="000000"/>
        </w:rPr>
        <w:t xml:space="preserve"> | | | Turkey | </w:t>
      </w:r>
    </w:p>
    <w:p>
      <w:pPr/>
      <w:r>
        <w:rPr>
          <w:rFonts w:ascii="Helvetica" w:hAnsi="Helvetica" w:cs="Helvetica"/>
          <w:sz w:val="24"/>
          <w:sz-cs w:val="24"/>
          <w:spacing w:val="0"/>
          <w:color w:val="000000"/>
        </w:rPr>
        <w:t xml:space="preserve"> | | | Rest of Middle East | </w:t>
      </w:r>
    </w:p>
    <w:p>
      <w:pPr/>
      <w:r>
        <w:rPr>
          <w:rFonts w:ascii="Helvetica" w:hAnsi="Helvetica" w:cs="Helvetica"/>
          <w:sz w:val="24"/>
          <w:sz-cs w:val="24"/>
          <w:spacing w:val="0"/>
          <w:color w:val="000000"/>
        </w:rPr>
        <w:t xml:space="preserve"> | | Africa | South Africa | </w:t>
      </w:r>
    </w:p>
    <w:p>
      <w:pPr/>
      <w:r>
        <w:rPr>
          <w:rFonts w:ascii="Helvetica" w:hAnsi="Helvetica" w:cs="Helvetica"/>
          <w:sz w:val="24"/>
          <w:sz-cs w:val="24"/>
          <w:spacing w:val="0"/>
          <w:color w:val="000000"/>
        </w:rPr>
        <w:t xml:space="preserve"> | | | Rest of Africa |</w:t>
      </w:r>
    </w:p>
    <w:p>
      <w:pPr/>
      <w:r>
        <w:rPr>
          <w:rFonts w:ascii="Helvetica" w:hAnsi="Helvetica" w:cs="Helvetica"/>
          <w:sz w:val="24"/>
          <w:sz-cs w:val="24"/>
          <w:spacing w:val="0"/>
          <w:color w:val="000000"/>
        </w:rPr>
        <w:t xml:space="preserve">Key Questions Answered in the ReportWhat is the current size of the optical measurement market?The optical measurement market is valued at USD 6.99 billion in 2026.How fast will the optical measurement market grow through 2031?The market is projected to expand at a 6.35% CAGR, reaching USD 9.51 billion by 2031.Which region leads demand for optical metrology tools?Asia-Pacific accounts for 37.80% of global revenue and is growing at a 6.97% CAGR.What segment shows the fastest growth inside the market?Electronics and semiconductor applications are forecast for a 7.08% CAGR through 2031 due to sub-2 nm fabrication.Why are large-volume 3D scanners expensive for SMEs?High-accuracy systems that scan several square meters can exceed smaller firmsâ€™ annual capital budgets, limiting adoption without leasing or incentive programs.How is artificial intelligence influencing optical measurement?AI powers automated feature recognition, closed-loop process adjustments, and predictive quality analytics, reducing cycle time and operator involvement.</w:t>
      </w:r>
    </w:p>
    <w:p>
      <w:pPr/>
      <w:r>
        <w:rPr>
          <w:rFonts w:ascii="Helvetica" w:hAnsi="Helvetica" w:cs="Helvetica"/>
          <w:sz w:val="24"/>
          <w:sz-cs w:val="24"/>
          <w:spacing w:val="0"/>
          <w:color w:val="000000"/>
        </w:rPr>
        <w:t xml:space="preserve">Explore More ReportsFind Latest Data onMarket Trends in Laser ProcessingGrowth Forecasts for Laser Technology MarketGrowth Forecasts for Lasers MarketLight Meter MarketMEMS Lidar Market ShareOptical Spectrum Analyzer (OSA) Market Trends</w:t>
      </w:r>
    </w:p>
    <w:p>
      <w:pPr/>
      <w:r>
        <w:rPr>
          <w:rFonts w:ascii="Helvetica" w:hAnsi="Helvetica" w:cs="Helvetica"/>
          <w:sz w:val="24"/>
          <w:sz-cs w:val="24"/>
          <w:spacing w:val="0"/>
          <w:color w:val="000000"/>
        </w:rPr>
        <w:t xml:space="preserve">Related ReportsMarket Outlook for Americas OptoelectronicsDiscrete Optics Market ShareOptical Coordinate Measuring Machine Industry</w:t>
      </w:r>
    </w:p>
    <w:p>
      <w:pPr/>
      <w:r>
        <w:rPr>
          <w:rFonts w:ascii="Helvetica" w:hAnsi="Helvetica" w:cs="Helvetica"/>
          <w:sz w:val="24"/>
          <w:sz-cs w:val="24"/>
          <w:spacing w:val="0"/>
          <w:color w:val="000000"/>
        </w:rPr>
        <w:t xml:space="preserve">Latest Case Studies* Technology, Media and Telecom5th MayAccelerating Additive Manufacturing Adoption in India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Min Read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Read Case Study</w:t>
      </w:r>
    </w:p>
    <w:p>
      <w:pPr/>
      <w:r>
        <w:rPr>
          <w:rFonts w:ascii="Helvetica" w:hAnsi="Helvetica" w:cs="Helvetica"/>
          <w:sz w:val="24"/>
          <w:sz-cs w:val="24"/>
          <w:spacing w:val="0"/>
          <w:color w:val="000000"/>
        </w:rPr>
        <w:t xml:space="preserve">* Technology, Media and Telecom5th MayPricing Strategy for Semiconductor Components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Min Read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Read Case Study</w:t>
      </w:r>
    </w:p>
    <w:p>
      <w:pPr/>
      <w:r>
        <w:rPr>
          <w:rFonts w:ascii="Helvetica" w:hAnsi="Helvetica" w:cs="Helvetica"/>
          <w:sz w:val="24"/>
          <w:sz-cs w:val="24"/>
          <w:spacing w:val="0"/>
          <w:color w:val="000000"/>
        </w:rPr>
        <w:t xml:space="preserve">* Manufacturing Products and Services22nd MayUS Market Entry for Taiwanese Machine Tool Manufacturers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Min Read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Read Case Study</w:t>
      </w:r>
    </w:p>
    <w:p>
      <w:pPr/>
      <w:r>
        <w:rPr>
          <w:rFonts w:ascii="Helvetica" w:hAnsi="Helvetica" w:cs="Helvetica"/>
          <w:sz w:val="24"/>
          <w:sz-cs w:val="24"/>
          <w:spacing w:val="0"/>
          <w:color w:val="000000"/>
        </w:rPr>
        <w:t xml:space="preserve">CONTACT USWhen decisions matter, industry leaders turn to our analysts. Letâ€™s talk.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ðŸŒCountry codeSubmit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