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Paints and Coatings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[https://www.mordorintelligence.com/industry-reports/paints-and-coatings-market](https://www.mordorintelligence.com/industry-reports/paints-and-coatings-market)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192.46 billion |</w:t>
      </w:r>
    </w:p>
    <w:p>
      <w:pPr/>
      <w:r>
        <w:rPr>
          <w:rFonts w:ascii="Helvetica Light" w:hAnsi="Helvetica Light" w:cs="Helvetica Light"/>
          <w:sz w:val="24"/>
          <w:sz-cs w:val="24"/>
        </w:rPr>
        <w:t xml:space="preserve">| **Projected Forecast (2031)** | USD 192.46 billion |</w:t>
      </w:r>
    </w:p>
    <w:p>
      <w:pPr/>
      <w:r>
        <w:rPr>
          <w:rFonts w:ascii="Helvetica Light" w:hAnsi="Helvetica Light" w:cs="Helvetica Light"/>
          <w:sz w:val="24"/>
          <w:sz-cs w:val="24"/>
        </w:rPr>
        <w:t xml:space="preserve">| **Growth Rate (CAGR)** | 3.62 %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Paints and Coatings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Market Share by Resin,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192.46 Billion | </w:t>
      </w:r>
    </w:p>
    <w:p>
      <w:pPr/>
      <w:r>
        <w:rPr>
          <w:rFonts w:ascii="Helvetica Light" w:hAnsi="Helvetica Light" w:cs="Helvetica Light"/>
          <w:sz w:val="24"/>
          <w:sz-cs w:val="24"/>
        </w:rPr>
        <w:t xml:space="preserve">Market Size (2031) | USD 229.90 Billion | </w:t>
      </w:r>
    </w:p>
    <w:p>
      <w:pPr/>
      <w:r>
        <w:rPr>
          <w:rFonts w:ascii="Helvetica Light" w:hAnsi="Helvetica Light" w:cs="Helvetica Light"/>
          <w:sz w:val="24"/>
          <w:sz-cs w:val="24"/>
        </w:rPr>
        <w:t xml:space="preserve">Growth Rate (2026 - 2031) | 3.62 %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Market Analysis by Mordor IntelligencePaints And Coatings Market size in 2026 is estimated at USD 192.46 billion, growing from 2025 value of USD 185.74 billion with 2031 projections showing USD 229.9 billion, growing at 3.62% CAGR over 2026-2031. Steady demand from residential construction, infrastructure upgrades and sustainable product innovation underpins this moderate expansion even as raw-material costs swing sharply and environmental regulations tighten. Asia-Pacific holds structural advantages, rapid urban migration, large‐scale capital projects and expanding industrial output, that collectively fuel regional consumption at a noticeably faster rate than mature economies. Across technologies, the migration to low-VOC water-borne chemistries remains the single most influential trend, reinforced by government emission caps and customer preference for greener specifications. Simultaneously, producers are digitizing color-matching, plant scheduling and quality-control workflows to mitigate labor shortages and compress time-to-market. Competitive intensity is rising as the top dozen suppliers pursue targeted acquisitions and divestitures that create leaner portfolios and unlock scale efficiencies in the global paints and coatings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resin, acrylics led with 35.78% paints and coatings market share in 2025 and are projected to grow at a 3.98% CAGR through 2031.</w:t>
      </w:r>
    </w:p>
    <w:p>
      <w:pPr/>
      <w:r>
        <w:rPr>
          <w:rFonts w:ascii="Helvetica Light" w:hAnsi="Helvetica Light" w:cs="Helvetica Light"/>
          <w:sz w:val="24"/>
          <w:sz-cs w:val="24"/>
        </w:rPr>
        <w:t xml:space="preserve">* By technology, water-borne systems accounted for 50.62% of the paints and coatings market size in 2025 and remain the fastest-expanding technology at 4.02% CAGR to 2031.</w:t>
      </w:r>
    </w:p>
    <w:p>
      <w:pPr/>
      <w:r>
        <w:rPr>
          <w:rFonts w:ascii="Helvetica Light" w:hAnsi="Helvetica Light" w:cs="Helvetica Light"/>
          <w:sz w:val="24"/>
          <w:sz-cs w:val="24"/>
        </w:rPr>
        <w:t xml:space="preserve">* By end-user, architectural coatings commanded 48.25% of 2025 revenue and are also pacing the segment growth at a 4.33% CAGR in the paints and coatings industry through 2031.</w:t>
      </w:r>
    </w:p>
    <w:p>
      <w:pPr/>
      <w:r>
        <w:rPr>
          <w:rFonts w:ascii="Helvetica Light" w:hAnsi="Helvetica Light" w:cs="Helvetica Light"/>
          <w:sz w:val="24"/>
          <w:sz-cs w:val="24"/>
        </w:rPr>
        <w:t xml:space="preserve">* By geography, Asia-Pacific dominated with 46.21% revenue contribution in 2025 and is expected to post the highest regional CAGR of 4.91% through 2031 in the paints and coatings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Paints and Coatings Market*Drivers | (~) % Impact on CAGR Forecast | Geographic Relevance | Impact Timeline | </w:t>
      </w:r>
    </w:p>
    <w:p>
      <w:pPr/>
      <w:r>
        <w:rPr>
          <w:rFonts w:ascii="Helvetica Light" w:hAnsi="Helvetica Light" w:cs="Helvetica Light"/>
          <w:sz w:val="24"/>
          <w:sz-cs w:val="24"/>
        </w:rPr>
        <w:t xml:space="preserve">Surge in global residential construction activity | +1.2% | Global, strongest in Asia-Pacific and North America | Medium term (2-4 years) | </w:t>
      </w:r>
    </w:p>
    <w:p>
      <w:pPr/>
      <w:r>
        <w:rPr>
          <w:rFonts w:ascii="Helvetica Light" w:hAnsi="Helvetica Light" w:cs="Helvetica Light"/>
          <w:sz w:val="24"/>
          <w:sz-cs w:val="24"/>
        </w:rPr>
        <w:t xml:space="preserve">Expanding automotive production volumes | +0.8% | Global, concentrated in Asia-Pacific and Europe | Medium term (2-4 years) | </w:t>
      </w:r>
    </w:p>
    <w:p>
      <w:pPr/>
      <w:r>
        <w:rPr>
          <w:rFonts w:ascii="Helvetica Light" w:hAnsi="Helvetica Light" w:cs="Helvetica Light"/>
          <w:sz w:val="24"/>
          <w:sz-cs w:val="24"/>
        </w:rPr>
        <w:t xml:space="preserve">Rapid urban population growth in APAC | +1.5% | Asia-Pacific core, spill-over to MEA | Long term (≥ 4 years) | </w:t>
      </w:r>
    </w:p>
    <w:p>
      <w:pPr/>
      <w:r>
        <w:rPr>
          <w:rFonts w:ascii="Helvetica Light" w:hAnsi="Helvetica Light" w:cs="Helvetica Light"/>
          <w:sz w:val="24"/>
          <w:sz-cs w:val="24"/>
        </w:rPr>
        <w:t xml:space="preserve">Government incentives for green building (low-VOC) | +0.9% | North America and EU, expanding to APAC | Short term (≤ 2 years) | </w:t>
      </w:r>
    </w:p>
    <w:p>
      <w:pPr/>
      <w:r>
        <w:rPr>
          <w:rFonts w:ascii="Helvetica Light" w:hAnsi="Helvetica Light" w:cs="Helvetica Light"/>
          <w:sz w:val="24"/>
          <w:sz-cs w:val="24"/>
        </w:rPr>
        <w:t xml:space="preserve">Emergence of AI-driven colour-matching platforms | +0.3% | Global, led by developed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paints and coatings industry is moderately fragmented. Private-equity investors continue to roll regional platforms, aiming to exit to strategics seeking last-mile distribution or niche technology. Innovation agendas center on bio-based resin systems, smart functional finishes and AI-centric customer interfaces that collectively support premium pricing. Raw-material cost spikes and evolving chemical-control laws favor players with deep compliance resources and global sourcing flexibility, raising the barrier to entry for small independents.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Industry Leaders* The Sherwin-Williams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Nippon Paint Holdings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PPG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Akzo Nobel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Paints and Coatings Market Report ScopePaints and coatings are homogeneous mixtures of pigments, binders, additives, and various other components. Upon application on a substrate, the products make a thin layer of the solid film through polymerization or evaporation. Paints and coatings are widely used to improve the aesthetics and protect the substrate from deterrents like corrosion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paints and coatings market is segmented by resin, technology, end-user industry, and geography. By resin, the market is segmented into acrylic, alkyd, polyurethane, epoxy, polyester, and other resin types (PVA, fluoropolymers, and polyaspartic resins). By technology, the market is segmented into water-borne coatings, solvent-borne coatings, powder coatings, and UV-cured technologies. By end-user industry, the market is segmented into architectural, automotive, wood, protective coatings, general industrial, transportation, and packaging coatings. The report also covers the market size and forecasts for the paints and coatings market in 39 countries across major regions. For each segment, the market sizing and forecasts have been done on the basis of revenue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OverviewResinAcrylic | </w:t>
      </w:r>
    </w:p>
    <w:p>
      <w:pPr/>
      <w:r>
        <w:rPr>
          <w:rFonts w:ascii="Helvetica Light" w:hAnsi="Helvetica Light" w:cs="Helvetica Light"/>
          <w:sz w:val="24"/>
          <w:sz-cs w:val="24"/>
        </w:rPr>
        <w:t xml:space="preserve">Alkyd | </w:t>
      </w:r>
    </w:p>
    <w:p>
      <w:pPr/>
      <w:r>
        <w:rPr>
          <w:rFonts w:ascii="Helvetica Light" w:hAnsi="Helvetica Light" w:cs="Helvetica Light"/>
          <w:sz w:val="24"/>
          <w:sz-cs w:val="24"/>
        </w:rPr>
        <w:t xml:space="preserve">Polyurethane | </w:t>
      </w:r>
    </w:p>
    <w:p>
      <w:pPr/>
      <w:r>
        <w:rPr>
          <w:rFonts w:ascii="Helvetica Light" w:hAnsi="Helvetica Light" w:cs="Helvetica Light"/>
          <w:sz w:val="24"/>
          <w:sz-cs w:val="24"/>
        </w:rPr>
        <w:t xml:space="preserve">Epoxy | </w:t>
      </w:r>
    </w:p>
    <w:p>
      <w:pPr/>
      <w:r>
        <w:rPr>
          <w:rFonts w:ascii="Helvetica Light" w:hAnsi="Helvetica Light" w:cs="Helvetica Light"/>
          <w:sz w:val="24"/>
          <w:sz-cs w:val="24"/>
        </w:rPr>
        <w:t xml:space="preserve">Polyester | </w:t>
      </w:r>
    </w:p>
    <w:p>
      <w:pPr/>
      <w:r>
        <w:rPr>
          <w:rFonts w:ascii="Helvetica Light" w:hAnsi="Helvetica Light" w:cs="Helvetica Light"/>
          <w:sz w:val="24"/>
          <w:sz-cs w:val="24"/>
        </w:rPr>
        <w:t xml:space="preserve">Other Resin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GeographyAsia-Pacific | China (Including Taiwan)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Sri Lanka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Switzerland | </w:t>
      </w:r>
    </w:p>
    <w:p>
      <w:pPr/>
      <w:r>
        <w:rPr>
          <w:rFonts w:ascii="Helvetica Light" w:hAnsi="Helvetica Light" w:cs="Helvetica Light"/>
          <w:sz w:val="24"/>
          <w:sz-cs w:val="24"/>
        </w:rPr>
        <w:t xml:space="preserve"> | Scandinavian Countries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Portugal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 Saudi Arabia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Kuwait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Algeria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paints and coatings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paints and coatings market size is forecast to reach USD 229.9 billion by 2031, expanding at a 3.62%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46.21% of 2025 revenue and is projected to preserve leadership as urbanization and infrastructure spending accelerate.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Water-borne coatings lead both share and growth, advancing at a 4.02% CAGR due to global VOC regulations and consumer sustainability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could restrain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Volatile titanium-dioxide prices, stricter chemical labeling rules and longer curing times for some water-borne systems present notable challenges.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