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Pollution Liability Insurance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[https://www.mordorintelligence.com/industry-reports/pollution-liability-insurance-market](https://www.mordorintelligence.com/industry-reports/pollution-liability-insurance-market)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4.80 billion |</w:t>
      </w:r>
    </w:p>
    <w:p>
      <w:pPr/>
      <w:r>
        <w:rPr>
          <w:rFonts w:ascii="Helvetica Light" w:hAnsi="Helvetica Light" w:cs="Helvetica Light"/>
          <w:sz w:val="24"/>
          <w:sz-cs w:val="24"/>
        </w:rPr>
        <w:t xml:space="preserve">| **Projected Forecast (2031)** | USD 4.80 billion |</w:t>
      </w:r>
    </w:p>
    <w:p>
      <w:pPr/>
      <w:r>
        <w:rPr>
          <w:rFonts w:ascii="Helvetica Light" w:hAnsi="Helvetica Light" w:cs="Helvetica Light"/>
          <w:sz w:val="24"/>
          <w:sz-cs w:val="24"/>
        </w:rPr>
        <w:t xml:space="preserve">| **Growth Rate (CAGR)** | 5.50 %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Pollution Liability Insurance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![Pollution Liability Insurance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![Pollution Liability Insurance Market Share by Coverage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![Pollution Liability Insurance Market Share by Customer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![Pollution Liability Insurance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![Pollution Liability Insurance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4.80 Billion | </w:t>
      </w:r>
    </w:p>
    <w:p>
      <w:pPr/>
      <w:r>
        <w:rPr>
          <w:rFonts w:ascii="Helvetica Light" w:hAnsi="Helvetica Light" w:cs="Helvetica Light"/>
          <w:sz w:val="24"/>
          <w:sz-cs w:val="24"/>
        </w:rPr>
        <w:t xml:space="preserve">Market Size (2031) | USD 6.27 Billion | </w:t>
      </w:r>
    </w:p>
    <w:p>
      <w:pPr/>
      <w:r>
        <w:rPr>
          <w:rFonts w:ascii="Helvetica Light" w:hAnsi="Helvetica Light" w:cs="Helvetica Light"/>
          <w:sz w:val="24"/>
          <w:sz-cs w:val="24"/>
        </w:rPr>
        <w:t xml:space="preserve">Growth Rate (2026 - 2031) | 5.50 %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Pollution Liability Insurance Market Analysis by Mordor IntelligenceThe pollution liability insurance market size is projected to expand from USD 4.60 billion in 2025 to USD 4.80 billion in 2026, and reach USD 6.27 billion by 2031, registering a CAGR of 5.5% between 2026 and 2031. The pollution liability insurance market is expanding as environmental enforcement becomes more systematic across North America, Europe, and the Asia-Pacific. Financial responsibility requirements are encouraging operators that handle hazardous materials to demonstrate that they can meet cleanup and liability obligations. Large settlements related to Superfund sites and PFAS have also made uninsured environmental exposure more visible to corporate buyers. New facilities for battery storage, solar power, and green hydrogen bring environmental risks that conventional general liability policies often exclude. These conditions broaden demand across industrial operations, real estate transactions, construction projects, and mid-market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coverage type, site and premises pollution liability captured 51.9% of the pollution liability insurance market share in 2025, while contractors' pollution liability is projected to register a 6.8% CAGR through 2031.</w:t>
      </w:r>
    </w:p>
    <w:p>
      <w:pPr/>
      <w:r>
        <w:rPr>
          <w:rFonts w:ascii="Helvetica Light" w:hAnsi="Helvetica Light" w:cs="Helvetica Light"/>
          <w:sz w:val="24"/>
          <w:sz-cs w:val="24"/>
        </w:rPr>
        <w:t xml:space="preserve">* By end-user industry, manufacturing and industrial processing accounted for 31.3% of the pollution liability insurance market share in 2025, while construction, real estate, and infrastructure are projected to register a 7.2% CAGR through 2031.</w:t>
      </w:r>
    </w:p>
    <w:p>
      <w:pPr/>
      <w:r>
        <w:rPr>
          <w:rFonts w:ascii="Helvetica Light" w:hAnsi="Helvetica Light" w:cs="Helvetica Light"/>
          <w:sz w:val="24"/>
          <w:sz-cs w:val="24"/>
        </w:rPr>
        <w:t xml:space="preserve">* By customer type, large enterprises held 63.8% of the pollution liability insurance market share in 2025, while small and medium enterprises are projected to register a 6.9% CAGR through 2031.</w:t>
      </w:r>
    </w:p>
    <w:p>
      <w:pPr/>
      <w:r>
        <w:rPr>
          <w:rFonts w:ascii="Helvetica Light" w:hAnsi="Helvetica Light" w:cs="Helvetica Light"/>
          <w:sz w:val="24"/>
          <w:sz-cs w:val="24"/>
        </w:rPr>
        <w:t xml:space="preserve">* By distribution channel, brokers and intermediaries held 71.7% of the pollution liability insurance market share in 2025, while MGAs, program administrators, and digital channels are projected to register a 7.5% CAGR through 2031.</w:t>
      </w:r>
    </w:p>
    <w:p>
      <w:pPr/>
      <w:r>
        <w:rPr>
          <w:rFonts w:ascii="Helvetica Light" w:hAnsi="Helvetica Light" w:cs="Helvetica Light"/>
          <w:sz w:val="24"/>
          <w:sz-cs w:val="24"/>
        </w:rPr>
        <w:t xml:space="preserve">* By geography, North America accounted for 55.7% of the pollution liability insurance market share in 2025, while the Asia-Pacific is forecast to register a 7.8%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Pollution Liability Insurance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Strengthening Environmental Liability, Remediation, and Financial Responsibility Regulations | +1.5% | Global, with highest intensity in North America and EU | Medium term (2–4 years) | </w:t>
      </w:r>
    </w:p>
    <w:p>
      <w:pPr/>
      <w:r>
        <w:rPr>
          <w:rFonts w:ascii="Helvetica Light" w:hAnsi="Helvetica Light" w:cs="Helvetica Light"/>
          <w:sz w:val="24"/>
          <w:sz-cs w:val="24"/>
        </w:rPr>
        <w:t xml:space="preserve">Growing Industrial and Legacy Contamination Risks Increasing Demand for Specialized Coverage | +0.9% | North America, Europe, and industrialising Asia-Pacific markets | Long term (≥ 4 years) | </w:t>
      </w:r>
    </w:p>
    <w:p>
      <w:pPr/>
      <w:r>
        <w:rPr>
          <w:rFonts w:ascii="Helvetica Light" w:hAnsi="Helvetica Light" w:cs="Helvetica Light"/>
          <w:sz w:val="24"/>
          <w:sz-cs w:val="24"/>
        </w:rPr>
        <w:t xml:space="preserve">Expansion of Hazardous Materials Handling, Storage, Transportation, and Waste Management Activities | +0.8% | Global, concentrated in North America, China, and India | Medium term (2–4 years) | </w:t>
      </w:r>
    </w:p>
    <w:p>
      <w:pPr/>
      <w:r>
        <w:rPr>
          <w:rFonts w:ascii="Helvetica Light" w:hAnsi="Helvetica Light" w:cs="Helvetica Light"/>
          <w:sz w:val="24"/>
          <w:sz-cs w:val="24"/>
        </w:rPr>
        <w:t xml:space="preserve">Increasing Environmental Due Diligence Requirements in Brownfield Redevelopment, M&amp;A, and Lending Transactions | +0.7% | North America and Western Europe | Short term (≤ 2 years) | </w:t>
      </w:r>
    </w:p>
    <w:p>
      <w:pPr/>
      <w:r>
        <w:rPr>
          <w:rFonts w:ascii="Helvetica Light" w:hAnsi="Helvetica Light" w:cs="Helvetica Light"/>
          <w:sz w:val="24"/>
          <w:sz-cs w:val="24"/>
        </w:rPr>
        <w:t xml:space="preserve">Rising Emerging Contaminant Risks, Including PFAS, Expanding Demand for Environmental Risk Transfer | +0.8% | Global, with regulatory intensity concentrated in North America and EU | Long term (≥ 4 years) | </w:t>
      </w:r>
    </w:p>
    <w:p>
      <w:pPr/>
      <w:r>
        <w:rPr>
          <w:rFonts w:ascii="Helvetica Light" w:hAnsi="Helvetica Light" w:cs="Helvetica Light"/>
          <w:sz w:val="24"/>
          <w:sz-cs w:val="24"/>
        </w:rPr>
        <w:t xml:space="preserve">Growing Environmental Liability Exposures from Energy Transition and New Industrial Infrastructure | +0.6% | Global, with growth concentrated in Asia-Pacific, North America, and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Pollution liability insurance market is concentrated among global specialty carriers, while regional insurers, Lloyd’s syndicates, and MGA platforms serve narrower sectors and geographies. AIG, Chubb, AXA XL, Zurich Insurance Group, and Allianz Commercial compete through underwriting expertise, international reach, and combined products that connect pollution coverage with professional or general liability. AXA XL launched an environmental combined form in March 2026 for the Americas. The form brings primary commercial general liability together with contractors, products, site, transportation, and professional pollution coverage. Markel Canada introduced 2 integrated environmental solutions in April 2026 for manufacturers and environmental service firms. The Pollution liability insurance market is moving toward combined forms that reduce coverage gaps and make broker placement easier. This approach can also simplify coverage discussions for clients with several related environmental exposures.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Mosaic Insurance launched a combined site pollution and general liability form with USD 25 million in excess capacity for manufacturing, processing, and environmental consulting buyers. These products allow the Pollution liability insurance market to place a larger share of environmental risk for existing clients. ISO environmental forms and Lloyd’s market standards support some consistency, but PFAS exclusion wording is not uniform. This variation can create disputes even for buyers with sophisticated insurance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key opportunity areas are modular products for small and mid-market buyers, energy-transition coverage for battery storage and carbon capture, and PFAS-affirmative structures for controlled exposures. Traditional construction all-risks and casualty policies can leave gaps for renewable energy environmental exposures. Beazley, Markel, Arch Insurance Group, AXIS Capital, and QBE have expanded their environmental underwriting appetites. AXIS Capital launched a dedicated Canadian environmental impairment liability unit in 2024 to write CPL, pollution legal liability, and follow-form business. Sompo International, Tokio Marine HCC, Great American Insurance Group, The Hartford, and CNA Financial add depth in mid-market and specialty lines. Multiple regional carriers, syndicates, and MGAs compete actively alongside the largest global specialty carriers.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Pollution Liability Insurance Industry Leaders* AIG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Chubb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AXA XL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Zurich Insurance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Allianz Commercial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Pollution Liability Insurance Market Report ScopeBy Coverage TypeSite and Premises Pollution Liability | </w:t>
      </w:r>
    </w:p>
    <w:p>
      <w:pPr/>
      <w:r>
        <w:rPr>
          <w:rFonts w:ascii="Helvetica Light" w:hAnsi="Helvetica Light" w:cs="Helvetica Light"/>
          <w:sz w:val="24"/>
          <w:sz-cs w:val="24"/>
        </w:rPr>
        <w:t xml:space="preserve">Contractors' Pollution Liability | </w:t>
      </w:r>
    </w:p>
    <w:p>
      <w:pPr/>
      <w:r>
        <w:rPr>
          <w:rFonts w:ascii="Helvetica Light" w:hAnsi="Helvetica Light" w:cs="Helvetica Light"/>
          <w:sz w:val="24"/>
          <w:sz-cs w:val="24"/>
        </w:rPr>
        <w:t xml:space="preserve">Storage Tank, Transportation, and Other Specialty Pollution Liability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pollution liability insurance?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Environmental financial responsibility rules, Superfund enforcement, PFAS exposure, and transaction requirements are increasing demand for specialized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pollution liability insurance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was valued at USD 4.6 billion in 2025 and is estimated at USD 4.8 billion in 2026, with a forecast value of USD 6.3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coverage type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Site and Premises Pollution Liability led with 51.9% in 2025, supported by property transactions and site financial-assurance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category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Construction, Real Estate, and Infrastructure is projected to grow at 7.2% CAGR through 2031 as contractual requirements extend across project supply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7.8% CAGR through 2031 as industrial activity and contaminated-site regulation expand.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businesses need specialized environmental liability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General liability policies may exclude PFAS and other pollution risks, while specialist policies can address site, contractor, transportation, and related exposures.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