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Pouch Packaging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Flexible &amp; Barrier Packaging (Packaging)  </w:t>
      </w:r>
    </w:p>
    <w:p>
      <w:pPr/>
      <w:r>
        <w:rPr>
          <w:rFonts w:ascii="Helvetica Light" w:hAnsi="Helvetica Light" w:cs="Helvetica Light"/>
          <w:sz w:val="24"/>
          <w:sz-cs w:val="24"/>
        </w:rPr>
        <w:t xml:space="preserve">&gt; **Source:** [https://www.mordorintelligence.com/industry-reports/pouch-packaging-market](https://www.mordorintelligence.com/industry-reports/pouch-packaging-market)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539.01 billion |</w:t>
      </w:r>
    </w:p>
    <w:p>
      <w:pPr/>
      <w:r>
        <w:rPr>
          <w:rFonts w:ascii="Helvetica Light" w:hAnsi="Helvetica Light" w:cs="Helvetica Light"/>
          <w:sz w:val="24"/>
          <w:sz-cs w:val="24"/>
        </w:rPr>
        <w:t xml:space="preserve">| **Projected Forecast (2031)** | USD 539.01 billion |</w:t>
      </w:r>
    </w:p>
    <w:p>
      <w:pPr/>
      <w:r>
        <w:rPr>
          <w:rFonts w:ascii="Helvetica Light" w:hAnsi="Helvetica Light" w:cs="Helvetica Light"/>
          <w:sz w:val="24"/>
          <w:sz-cs w:val="24"/>
        </w:rPr>
        <w:t xml:space="preserve">| **Growth Rate (CAGR)** | 3.98 %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Pouch Packaging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![Pouch Packaging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![Pouch Packaging Market Share by Material,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![Pouch Packaging Market Share by Closure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![Pouch Packaging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![Pouch Packaging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Volume (2026) | 560.46 Billion units | </w:t>
      </w:r>
    </w:p>
    <w:p>
      <w:pPr/>
      <w:r>
        <w:rPr>
          <w:rFonts w:ascii="Helvetica Light" w:hAnsi="Helvetica Light" w:cs="Helvetica Light"/>
          <w:sz w:val="24"/>
          <w:sz-cs w:val="24"/>
        </w:rPr>
        <w:t xml:space="preserve">Market Volume (2031) | 681.22 Billion units | </w:t>
      </w:r>
    </w:p>
    <w:p>
      <w:pPr/>
      <w:r>
        <w:rPr>
          <w:rFonts w:ascii="Helvetica Light" w:hAnsi="Helvetica Light" w:cs="Helvetica Light"/>
          <w:sz w:val="24"/>
          <w:sz-cs w:val="24"/>
        </w:rPr>
        <w:t xml:space="preserve">Growth Rate (2026 - 2031) | 3.98 %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Pouch Packaging Market Analysis by Mordor IntelligenceThe pouch packaging market size was valued at USD 539.01 billion in 2025 and estimated to grow from USD 560.46 billion in 2026 to reach USD 681.22 billion by 2031, at a CAGR of 3.98% during the forecast period (2026-2031). This steady trajectory underscores the pouch packaging market’s transition from rapid early-stage growth to a more measured expansion supported by e-commerce logistics, convenience food trends, and tightening sustainability regulations. Brand owners continue to favor material-efficient flexible packs over rigid formats, while regulatory bodies endorse lightweight solutions that cut transport emissions. Technology investments now prioritize mono-material barrier films and recyclability compliance, shifting competitive advantage away from pure scale economics.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material, plastics led with a 60.72% pouch packaging market share in 2025, whereas bio-degradable and compostable substrates are projected to post the fastest 6.05% CAGR to 2031.</w:t>
      </w:r>
    </w:p>
    <w:p>
      <w:pPr/>
      <w:r>
        <w:rPr>
          <w:rFonts w:ascii="Helvetica Light" w:hAnsi="Helvetica Light" w:cs="Helvetica Light"/>
          <w:sz w:val="24"/>
          <w:sz-cs w:val="24"/>
        </w:rPr>
        <w:t xml:space="preserve">* By product type, flat pouches commanded 36.33% of the pouch packaging market size in 2025, while stand-up formats are set to expand at a 5.43% CAGR through 2031.</w:t>
      </w:r>
    </w:p>
    <w:p>
      <w:pPr/>
      <w:r>
        <w:rPr>
          <w:rFonts w:ascii="Helvetica Light" w:hAnsi="Helvetica Light" w:cs="Helvetica Light"/>
          <w:sz w:val="24"/>
          <w:sz-cs w:val="24"/>
        </w:rPr>
        <w:t xml:space="preserve">* By closure, zipper systems held 28.38% of the pouch packaging market share in 2025; spout-and-cap solutions are expected to grow at a 5.61% CAGR to 2031.</w:t>
      </w:r>
    </w:p>
    <w:p>
      <w:pPr/>
      <w:r>
        <w:rPr>
          <w:rFonts w:ascii="Helvetica Light" w:hAnsi="Helvetica Light" w:cs="Helvetica Light"/>
          <w:sz w:val="24"/>
          <w:sz-cs w:val="24"/>
        </w:rPr>
        <w:t xml:space="preserve">* By end-user, food applications accounted for 38.42% of the pouch packaging market size in 2025, and personal care and cosmetics are forecast to advance at a 5.88% CAGR to 2031.</w:t>
      </w:r>
    </w:p>
    <w:p>
      <w:pPr/>
      <w:r>
        <w:rPr>
          <w:rFonts w:ascii="Helvetica Light" w:hAnsi="Helvetica Light" w:cs="Helvetica Light"/>
          <w:sz w:val="24"/>
          <w:sz-cs w:val="24"/>
        </w:rPr>
        <w:t xml:space="preserve">* By geography, Asia-Pacific captured a 39.54% pouch packaging market share in 2025 and is projected to record the highest 6.74%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Pouch Packaging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Rising demand for cost-effective packaging and brand differentiation | +1.2% | Global, premium focus in North America and Europe | Medium term (2-4 years) | </w:t>
      </w:r>
    </w:p>
    <w:p>
      <w:pPr/>
      <w:r>
        <w:rPr>
          <w:rFonts w:ascii="Helvetica Light" w:hAnsi="Helvetica Light" w:cs="Helvetica Light"/>
          <w:sz w:val="24"/>
          <w:sz-cs w:val="24"/>
        </w:rPr>
        <w:t xml:space="preserve">Surge in convenience and ready-to-eat food consumption | +0.9% | Asia-Pacific core, spill-over to global urban centers | Short term (≤ 2 years) | </w:t>
      </w:r>
    </w:p>
    <w:p>
      <w:pPr/>
      <w:r>
        <w:rPr>
          <w:rFonts w:ascii="Helvetica Light" w:hAnsi="Helvetica Light" w:cs="Helvetica Light"/>
          <w:sz w:val="24"/>
          <w:sz-cs w:val="24"/>
        </w:rPr>
        <w:t xml:space="preserve">Sustainability-driven shift toward lightweight flexible packs | +0.8% | Europe and North America regulatory-driven, expanding to Asia-Pacific | Long term (≥ 4 years) | </w:t>
      </w:r>
    </w:p>
    <w:p>
      <w:pPr/>
      <w:r>
        <w:rPr>
          <w:rFonts w:ascii="Helvetica Light" w:hAnsi="Helvetica Light" w:cs="Helvetica Light"/>
          <w:sz w:val="24"/>
          <w:sz-cs w:val="24"/>
        </w:rPr>
        <w:t xml:space="preserve">Acceleration of e-commerce and direct-to-consumer logistics | +0.7% | Global, concentrated in developed markets | Medium term (2-4 years) | </w:t>
      </w:r>
    </w:p>
    <w:p>
      <w:pPr/>
      <w:r>
        <w:rPr>
          <w:rFonts w:ascii="Helvetica Light" w:hAnsi="Helvetica Light" w:cs="Helvetica Light"/>
          <w:sz w:val="24"/>
          <w:sz-cs w:val="24"/>
        </w:rPr>
        <w:t xml:space="preserve">Expansion of spouted pouches in industrial bulk applications | +0.4% | Industrial regions – North America, Europe, China | Medium term (2-4 years) | </w:t>
      </w:r>
    </w:p>
    <w:p>
      <w:pPr/>
      <w:r>
        <w:rPr>
          <w:rFonts w:ascii="Helvetica Light" w:hAnsi="Helvetica Light" w:cs="Helvetica Light"/>
          <w:sz w:val="24"/>
          <w:sz-cs w:val="24"/>
        </w:rPr>
        <w:t xml:space="preserve">High-barrier mono-material film breakthroughs enabling recyclability | +0.3% | Technology leaders – Europe, North America, Japan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pouch packaging industry balances moderate fragmentation with rapid technology-led consolidation. Patent activity in mono-material barriers now eclipses cost reduction as the primary arena of rivalry. Huhtamaki’s blueloop platform illustrates how proprietary polymer chemistries can lock in customers concerned about EU recyclability thresholds.[3]Huhtamaki, “blueloop Flexibles Platform Overview,” Huhtamaki, huhtamaki.com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Mergers and acquisitions center on know-how rather than footprint. TOPPAN’s USD 1.8 billion purchase of Sonoco’s Thermoformed and Flexible Packaging unit secures an instant network of 22 plants and 700 patents across the Americas. Converters that lack specialty film science pivot toward niche regional markets or co-packing services, avoiding direct clashes with innovation leaders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Capital expenditure increasingly targets recycling-compatible infrastructure over capacity additions. Chemical-recycling partnerships promise long-term feedstock stability, yet most remain pilot scale. As regulators impose Extended Producer Responsibility fees, companies that demonstrate closed-loop solutions gain a tender advantage with multinational brands. Consequently, intellectual property in solvent-free coatings and compatibilizers becomes strategic currency.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Pouch Packaging Industry Leaders* Aluflexpack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Constantia Flexibles Group GmbH​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ProAmpac Intermediate,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Amcor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Bischof + Klein SE and Co. KG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report, the pouch packaging market covers flexible pouch packs used to contain and protect products, including premade and rollstock formats that are converted into pouches and sold to brand owners and packers across common end uses.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rigid packaging formats (such as bottles, jars, and cans) and packaging machinery revenues, unless the spend is directly part of the pouch pack purchase.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Material* Plastics* Polyethylene (PE)</w:t>
      </w:r>
    </w:p>
    <w:p>
      <w:pPr/>
      <w:r>
        <w:rPr>
          <w:rFonts w:ascii="Helvetica Light" w:hAnsi="Helvetica Light" w:cs="Helvetica Light"/>
          <w:sz w:val="24"/>
          <w:sz-cs w:val="24"/>
        </w:rPr>
        <w:t xml:space="preserve">* Polypropylene (PP)</w:t>
      </w:r>
    </w:p>
    <w:p>
      <w:pPr/>
      <w:r>
        <w:rPr>
          <w:rFonts w:ascii="Helvetica Light" w:hAnsi="Helvetica Light" w:cs="Helvetica Light"/>
          <w:sz w:val="24"/>
          <w:sz-cs w:val="24"/>
        </w:rPr>
        <w:t xml:space="preserve">* Polyethylene Terephthalate (PET)</w:t>
      </w:r>
    </w:p>
    <w:p>
      <w:pPr/>
      <w:r>
        <w:rPr>
          <w:rFonts w:ascii="Helvetica Light" w:hAnsi="Helvetica Light" w:cs="Helvetica Light"/>
          <w:sz w:val="24"/>
          <w:sz-cs w:val="24"/>
        </w:rPr>
        <w:t xml:space="preserve">* Polyvinyl Chloride resin (PVC)</w:t>
      </w:r>
    </w:p>
    <w:p>
      <w:pPr/>
      <w:r>
        <w:rPr>
          <w:rFonts w:ascii="Helvetica Light" w:hAnsi="Helvetica Light" w:cs="Helvetica Light"/>
          <w:sz w:val="24"/>
          <w:sz-cs w:val="24"/>
        </w:rPr>
        <w:t xml:space="preserve">* Other Plastics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Paper</w:t>
      </w:r>
    </w:p>
    <w:p>
      <w:pPr/>
      <w:r>
        <w:rPr>
          <w:rFonts w:ascii="Helvetica Light" w:hAnsi="Helvetica Light" w:cs="Helvetica Light"/>
          <w:sz w:val="24"/>
          <w:sz-cs w:val="24"/>
        </w:rPr>
        <w:t xml:space="preserve">* Aluminum Foil</w:t>
      </w:r>
    </w:p>
    <w:p>
      <w:pPr/>
      <w:r>
        <w:rPr>
          <w:rFonts w:ascii="Helvetica Light" w:hAnsi="Helvetica Light" w:cs="Helvetica Light"/>
          <w:sz w:val="24"/>
          <w:sz-cs w:val="24"/>
        </w:rPr>
        <w:t xml:space="preserve">* Bio-degradable/Compostable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Flat (Pillow and Side-Seal)</w:t>
      </w:r>
    </w:p>
    <w:p>
      <w:pPr/>
      <w:r>
        <w:rPr>
          <w:rFonts w:ascii="Helvetica Light" w:hAnsi="Helvetica Light" w:cs="Helvetica Light"/>
          <w:sz w:val="24"/>
          <w:sz-cs w:val="24"/>
        </w:rPr>
        <w:t xml:space="preserve">* Stand-Up</w:t>
      </w:r>
    </w:p>
    <w:p>
      <w:pPr/>
      <w:r>
        <w:rPr>
          <w:rFonts w:ascii="Helvetica Light" w:hAnsi="Helvetica Light" w:cs="Helvetica Light"/>
          <w:sz w:val="24"/>
          <w:sz-cs w:val="24"/>
        </w:rPr>
        <w:t xml:space="preserve">* Spouted</w:t>
      </w:r>
    </w:p>
    <w:p>
      <w:pPr/>
      <w:r>
        <w:rPr>
          <w:rFonts w:ascii="Helvetica Light" w:hAnsi="Helvetica Light" w:cs="Helvetica Light"/>
          <w:sz w:val="24"/>
          <w:sz-cs w:val="24"/>
        </w:rPr>
        <w:t xml:space="preserve">* Retort</w:t>
      </w:r>
    </w:p>
    <w:p>
      <w:pPr/>
      <w:r>
        <w:rPr>
          <w:rFonts w:ascii="Helvetica Light" w:hAnsi="Helvetica Light" w:cs="Helvetica Light"/>
          <w:sz w:val="24"/>
          <w:sz-cs w:val="24"/>
        </w:rPr>
        <w:t xml:space="preserve">* Aseptic</w:t>
      </w:r>
    </w:p>
    <w:p>
      <w:pPr/>
      <w:r>
        <w:rPr>
          <w:rFonts w:ascii="Helvetica Light" w:hAnsi="Helvetica Light" w:cs="Helvetica Light"/>
          <w:sz w:val="24"/>
          <w:sz-cs w:val="24"/>
        </w:rPr>
        <w:t xml:space="preserve">* Stick-Pack / Sachet</w:t>
      </w:r>
    </w:p>
    <w:p>
      <w:pPr/>
      <w:r>
        <w:rPr>
          <w:rFonts w:ascii="Helvetica Light" w:hAnsi="Helvetica Light" w:cs="Helvetica Light"/>
          <w:sz w:val="24"/>
          <w:sz-cs w:val="24"/>
        </w:rPr>
        <w:t xml:space="preserve">* Rollstock / Premade Pouch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Closure Type* Zipper</w:t>
      </w:r>
    </w:p>
    <w:p>
      <w:pPr/>
      <w:r>
        <w:rPr>
          <w:rFonts w:ascii="Helvetica Light" w:hAnsi="Helvetica Light" w:cs="Helvetica Light"/>
          <w:sz w:val="24"/>
          <w:sz-cs w:val="24"/>
        </w:rPr>
        <w:t xml:space="preserve">* Spout and Cap</w:t>
      </w:r>
    </w:p>
    <w:p>
      <w:pPr/>
      <w:r>
        <w:rPr>
          <w:rFonts w:ascii="Helvetica Light" w:hAnsi="Helvetica Light" w:cs="Helvetica Light"/>
          <w:sz w:val="24"/>
          <w:sz-cs w:val="24"/>
        </w:rPr>
        <w:t xml:space="preserve">* Tear-Notch</w:t>
      </w:r>
    </w:p>
    <w:p>
      <w:pPr/>
      <w:r>
        <w:rPr>
          <w:rFonts w:ascii="Helvetica Light" w:hAnsi="Helvetica Light" w:cs="Helvetica Light"/>
          <w:sz w:val="24"/>
          <w:sz-cs w:val="24"/>
        </w:rPr>
        <w:t xml:space="preserve">* Slider</w:t>
      </w:r>
    </w:p>
    <w:p>
      <w:pPr/>
      <w:r>
        <w:rPr>
          <w:rFonts w:ascii="Helvetica Light" w:hAnsi="Helvetica Light" w:cs="Helvetica Light"/>
          <w:sz w:val="24"/>
          <w:sz-cs w:val="24"/>
        </w:rPr>
        <w:t xml:space="preserve">* Other Closure Type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End-User Industry* Food* Candy and Confectionery</w:t>
      </w:r>
    </w:p>
    <w:p>
      <w:pPr/>
      <w:r>
        <w:rPr>
          <w:rFonts w:ascii="Helvetica Light" w:hAnsi="Helvetica Light" w:cs="Helvetica Light"/>
          <w:sz w:val="24"/>
          <w:sz-cs w:val="24"/>
        </w:rPr>
        <w:t xml:space="preserve">* Frozen Foods</w:t>
      </w:r>
    </w:p>
    <w:p>
      <w:pPr/>
      <w:r>
        <w:rPr>
          <w:rFonts w:ascii="Helvetica Light" w:hAnsi="Helvetica Light" w:cs="Helvetica Light"/>
          <w:sz w:val="24"/>
          <w:sz-cs w:val="24"/>
        </w:rPr>
        <w:t xml:space="preserve">* Fresh Produce</w:t>
      </w:r>
    </w:p>
    <w:p>
      <w:pPr/>
      <w:r>
        <w:rPr>
          <w:rFonts w:ascii="Helvetica Light" w:hAnsi="Helvetica Light" w:cs="Helvetica Light"/>
          <w:sz w:val="24"/>
          <w:sz-cs w:val="24"/>
        </w:rPr>
        <w:t xml:space="preserve">* Dairy Products</w:t>
      </w:r>
    </w:p>
    <w:p>
      <w:pPr/>
      <w:r>
        <w:rPr>
          <w:rFonts w:ascii="Helvetica Light" w:hAnsi="Helvetica Light" w:cs="Helvetica Light"/>
          <w:sz w:val="24"/>
          <w:sz-cs w:val="24"/>
        </w:rPr>
        <w:t xml:space="preserve">* Dry Foods and Cereals</w:t>
      </w:r>
    </w:p>
    <w:p>
      <w:pPr/>
      <w:r>
        <w:rPr>
          <w:rFonts w:ascii="Helvetica Light" w:hAnsi="Helvetica Light" w:cs="Helvetica Light"/>
          <w:sz w:val="24"/>
          <w:sz-cs w:val="24"/>
        </w:rPr>
        <w:t xml:space="preserve">* Meat, Poultry and Seafood</w:t>
      </w:r>
    </w:p>
    <w:p>
      <w:pPr/>
      <w:r>
        <w:rPr>
          <w:rFonts w:ascii="Helvetica Light" w:hAnsi="Helvetica Light" w:cs="Helvetica Light"/>
          <w:sz w:val="24"/>
          <w:sz-cs w:val="24"/>
        </w:rPr>
        <w:t xml:space="preserve">* Pet Food</w:t>
      </w:r>
    </w:p>
    <w:p>
      <w:pPr/>
      <w:r>
        <w:rPr>
          <w:rFonts w:ascii="Helvetica Light" w:hAnsi="Helvetica Light" w:cs="Helvetica Light"/>
          <w:sz w:val="24"/>
          <w:sz-cs w:val="24"/>
        </w:rPr>
        <w:t xml:space="preserve">* Other Foods (Sauces, Condiments, Spreads)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Beverage* Alcoholic</w:t>
      </w:r>
    </w:p>
    <w:p>
      <w:pPr/>
      <w:r>
        <w:rPr>
          <w:rFonts w:ascii="Helvetica Light" w:hAnsi="Helvetica Light" w:cs="Helvetica Light"/>
          <w:sz w:val="24"/>
          <w:sz-cs w:val="24"/>
        </w:rPr>
        <w:t xml:space="preserve">* Non-Alcoholic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Medical and Pharmaceutical</w:t>
      </w:r>
    </w:p>
    <w:p>
      <w:pPr/>
      <w:r>
        <w:rPr>
          <w:rFonts w:ascii="Helvetica Light" w:hAnsi="Helvetica Light" w:cs="Helvetica Light"/>
          <w:sz w:val="24"/>
          <w:sz-cs w:val="24"/>
        </w:rPr>
        <w:t xml:space="preserve">* Personal Care and Cosmetics</w:t>
      </w:r>
    </w:p>
    <w:p>
      <w:pPr/>
      <w:r>
        <w:rPr>
          <w:rFonts w:ascii="Helvetica Light" w:hAnsi="Helvetica Light" w:cs="Helvetica Light"/>
          <w:sz w:val="24"/>
          <w:sz-cs w:val="24"/>
        </w:rPr>
        <w:t xml:space="preserve">* Home Care and Household</w:t>
      </w:r>
    </w:p>
    <w:p>
      <w:pPr/>
      <w:r>
        <w:rPr>
          <w:rFonts w:ascii="Helvetica Light" w:hAnsi="Helvetica Light" w:cs="Helvetica Light"/>
          <w:sz w:val="24"/>
          <w:sz-cs w:val="24"/>
        </w:rPr>
        <w:t xml:space="preserve">* Other End-User Industry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Middle East* Saudi Arabia</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Africa* South Africa</w:t>
      </w:r>
    </w:p>
    <w:p>
      <w:pPr/>
      <w:r>
        <w:rPr>
          <w:rFonts w:ascii="Helvetica Light" w:hAnsi="Helvetica Light" w:cs="Helvetica Light"/>
          <w:sz w:val="24"/>
          <w:sz-cs w:val="24"/>
        </w:rPr>
        <w:t xml:space="preserve">* Kenya</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pouch packaging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pouch packaging market size is 560.46 billion units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is global demand for pouch formats projected to grow?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Volumes are expected to rise at a 3.98% CAGR, reaching 681.22 billion units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in both scale and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holds a 39.54% share in 2025 and is set to grow at 6.74%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sustainability regulations affecting pack design?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Rules such as the EU PPWR are accelerating the shift to mono-material pouches that enable mechanical recycling.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materials are gaining traction over conventional plastics?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Bio-degradable and compostable substrates are expanding at a 6.05% CAGR as regulators push for circularity.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closure type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Spout-and-cap systems are forecast to grow at 5.61% CAGR due to rising liquid applications.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