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Precision Oncology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Healthcare (Pharma, Medical Devices, Biotech)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https://www.mordorintelligence.com/industry-reports/precision-oncology-market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Precision Oncology Market Size and ShareMarket OverviewStudy Period | 2020 - 2031 | </w:t>
      </w:r>
    </w:p>
    <w:p>
      <w:pPr/>
      <w:r>
        <w:rPr>
          <w:rFonts w:ascii="Helvetica" w:hAnsi="Helvetica" w:cs="Helvetica"/>
          <w:sz w:val="24"/>
          <w:sz-cs w:val="24"/>
          <w:spacing w:val="0"/>
          <w:color w:val="000000"/>
        </w:rPr>
        <w:t xml:space="preserve">Market Size (2026) | USD 127.68 Billion | </w:t>
      </w:r>
    </w:p>
    <w:p>
      <w:pPr/>
      <w:r>
        <w:rPr>
          <w:rFonts w:ascii="Helvetica" w:hAnsi="Helvetica" w:cs="Helvetica"/>
          <w:sz w:val="24"/>
          <w:sz-cs w:val="24"/>
          <w:spacing w:val="0"/>
          <w:color w:val="000000"/>
        </w:rPr>
        <w:t xml:space="preserve">Market Size (2031) | USD 201.27 Billion | </w:t>
      </w:r>
    </w:p>
    <w:p>
      <w:pPr/>
      <w:r>
        <w:rPr>
          <w:rFonts w:ascii="Helvetica" w:hAnsi="Helvetica" w:cs="Helvetica"/>
          <w:sz w:val="24"/>
          <w:sz-cs w:val="24"/>
          <w:spacing w:val="0"/>
          <w:color w:val="000000"/>
        </w:rPr>
        <w:t xml:space="preserve">Growth Rate (2026 - 2031) | 9.53 %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Precision Oncology Market Analysis by Mordor IntelligenceThe Precision Oncology Market size was valued at USD 115.51 billion in 2025 and is estimated to grow from USD 127.68 billion in 2026 to reach USD 201.27 billion by 2031, at a CAGR of 9.53%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Sequencing costs continue to fall, companion diagnostic approvals are accelerating, and payers now reimburse multi-gene panels that prolong progression-free survival, collectively driving clinical adoption. Therapeutics still generate most revenue, yet liquid-biopsy-based diagnostics are gaining ground as monitoring tools rather than single-time tests. Hospitals currently dominate test volume, but independent laboratories are scaling faster in response to decentralized workflows and point-of-care molecular platforms. North America leads in spending, while regulatory reforms in China and Japan position the Asia-Pacific for the strongest absolute growth. Competitive focus is shifting from raw sequencing capacity to interoperability among analytics, pathology images, and electronic health records.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type, therapeutics captured 58.81% precision oncology market share in 2025, whereas diagnostics are projected to expand at a 10.06% CAGR to 2031.</w:t>
      </w:r>
    </w:p>
    <w:p>
      <w:pPr/>
      <w:r>
        <w:rPr>
          <w:rFonts w:ascii="Helvetica" w:hAnsi="Helvetica" w:cs="Helvetica"/>
          <w:sz w:val="24"/>
          <w:sz-cs w:val="24"/>
          <w:spacing w:val="0"/>
          <w:color w:val="000000"/>
        </w:rPr>
        <w:t xml:space="preserve">* By technology, next-generation sequencing accounted for 36.73% of the precision oncology market size in 2025, while fluorescence in situ hybridization (FISH) is expected to advance at a 10.72% CAGR through 2031.</w:t>
      </w:r>
    </w:p>
    <w:p>
      <w:pPr/>
      <w:r>
        <w:rPr>
          <w:rFonts w:ascii="Helvetica" w:hAnsi="Helvetica" w:cs="Helvetica"/>
          <w:sz w:val="24"/>
          <w:sz-cs w:val="24"/>
          <w:spacing w:val="0"/>
          <w:color w:val="000000"/>
        </w:rPr>
        <w:t xml:space="preserve">* By biomarker type, genomic biomarkers accounted for a 31.48% share of the precision oncology market size in 2025; epigenomic biomarkers are projected to grow at an 8.79% CAGR through 2031.</w:t>
      </w:r>
    </w:p>
    <w:p>
      <w:pPr/>
      <w:r>
        <w:rPr>
          <w:rFonts w:ascii="Helvetica" w:hAnsi="Helvetica" w:cs="Helvetica"/>
          <w:sz w:val="24"/>
          <w:sz-cs w:val="24"/>
          <w:spacing w:val="0"/>
          <w:color w:val="000000"/>
        </w:rPr>
        <w:t xml:space="preserve">* By cancer type, breast cancer led with 49.26% revenue share in 2025, yet prostate cancer is forecast to grow at an 11.53% CAGR through 2031.</w:t>
      </w:r>
    </w:p>
    <w:p>
      <w:pPr/>
      <w:r>
        <w:rPr>
          <w:rFonts w:ascii="Helvetica" w:hAnsi="Helvetica" w:cs="Helvetica"/>
          <w:sz w:val="24"/>
          <w:sz-cs w:val="24"/>
          <w:spacing w:val="0"/>
          <w:color w:val="000000"/>
        </w:rPr>
        <w:t xml:space="preserve">* By end-user, hospitals and cancer centers held a 69.16% precision oncology market share in 2025, while diagnostic laboratories are expected to rise at a 12.27% CAGR through 2031.</w:t>
      </w:r>
    </w:p>
    <w:p>
      <w:pPr/>
      <w:r>
        <w:rPr>
          <w:rFonts w:ascii="Helvetica" w:hAnsi="Helvetica" w:cs="Helvetica"/>
          <w:sz w:val="24"/>
          <w:sz-cs w:val="24"/>
          <w:spacing w:val="0"/>
          <w:color w:val="000000"/>
        </w:rPr>
        <w:t xml:space="preserve">* By geography, North America accounted for 42.83% of the revenue in 2025; the Asia-Pacific region is the fastest-growing, with a 13.27% CAGR forecasted to 2031.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Precision Oncology Market*Driver | (~) % Impact on CAGR Forecast | Geographic Relevance | Impact Timeline | </w:t>
      </w:r>
    </w:p>
    <w:p>
      <w:pPr/>
      <w:r>
        <w:rPr>
          <w:rFonts w:ascii="Helvetica" w:hAnsi="Helvetica" w:cs="Helvetica"/>
          <w:sz w:val="24"/>
          <w:sz-cs w:val="24"/>
          <w:spacing w:val="0"/>
          <w:color w:val="000000"/>
        </w:rPr>
        <w:t xml:space="preserve">Advancements in NGS &amp; AI-Driven Analytics | +1.8% | North America, Europe | Medium term (2-4 years) | </w:t>
      </w:r>
    </w:p>
    <w:p>
      <w:pPr/>
      <w:r>
        <w:rPr>
          <w:rFonts w:ascii="Helvetica" w:hAnsi="Helvetica" w:cs="Helvetica"/>
          <w:sz w:val="24"/>
          <w:sz-cs w:val="24"/>
          <w:spacing w:val="0"/>
          <w:color w:val="000000"/>
        </w:rPr>
        <w:t xml:space="preserve">Rising Cancer Incidence &amp; Favorable Reimbursement | +2.1% | Global | Long term (â‰¥4 years) | </w:t>
      </w:r>
    </w:p>
    <w:p>
      <w:pPr/>
      <w:r>
        <w:rPr>
          <w:rFonts w:ascii="Helvetica" w:hAnsi="Helvetica" w:cs="Helvetica"/>
          <w:sz w:val="24"/>
          <w:sz-cs w:val="24"/>
          <w:spacing w:val="0"/>
          <w:color w:val="000000"/>
        </w:rPr>
        <w:t xml:space="preserve">Companion-Diagnostic Approvals Accelerating Commercialization | +1.5% | North America, Europe, Japan | Short term (â‰¤2 years) | </w:t>
      </w:r>
    </w:p>
    <w:p>
      <w:pPr/>
      <w:r>
        <w:rPr>
          <w:rFonts w:ascii="Helvetica" w:hAnsi="Helvetica" w:cs="Helvetica"/>
          <w:sz w:val="24"/>
          <w:sz-cs w:val="24"/>
          <w:spacing w:val="0"/>
          <w:color w:val="000000"/>
        </w:rPr>
        <w:t xml:space="preserve">Rapid Adoption of Liquid Biopsy Platforms | +1.4% | Global | Medium term (2-4 years) | </w:t>
      </w:r>
    </w:p>
    <w:p>
      <w:pPr/>
      <w:r>
        <w:rPr>
          <w:rFonts w:ascii="Helvetica" w:hAnsi="Helvetica" w:cs="Helvetica"/>
          <w:sz w:val="24"/>
          <w:sz-cs w:val="24"/>
          <w:spacing w:val="0"/>
          <w:color w:val="000000"/>
        </w:rPr>
        <w:t xml:space="preserve">Single-Cell Multi-Omics Integration | +0.9% | North America, Europe, select APAC hubs | Long term (â‰¥4 years) | </w:t>
      </w:r>
    </w:p>
    <w:p>
      <w:pPr/>
      <w:r>
        <w:rPr>
          <w:rFonts w:ascii="Helvetica" w:hAnsi="Helvetica" w:cs="Helvetica"/>
          <w:sz w:val="24"/>
          <w:sz-cs w:val="24"/>
          <w:spacing w:val="0"/>
          <w:color w:val="000000"/>
        </w:rPr>
        <w:t xml:space="preserve">Decentralized Clinical-Trial Models | +0.7% | North America, Europe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Advancements in NGS &amp; AI-Driven AnalyticsAI now reduces whole-genome interpretation from days to hours, allowing real-time therapeutic decisions in acute leukemia and aggressive solid tumors.[1]Illumina Investor Relations, â€œQ4 2025 Earnings Call Transcript,â€ illumina.com Illuminaâ€™s DRAGEN platform is deployed at more than 1,200 clinical sites and processes a genome in under 90 minutes with high accuracy. FoundationOne CDx expanded into additional tumor types in early 2025 and integrates machine-learning models trained on more than 500,000 de-identified records, yielding a 78% positive predictive value for immunotherapy response. Oxford Nanoporeâ€™s adaptive sampling further reduces the per-sample reagent cost by 40% while maintaining diagnostic sensitivity above 99%. These efficiency gains convert molecular profiling from an academic add-on into a routine decision-support tool across community oncology.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Cancer Incidence &amp; Favorable ReimbursementNew cancer cases reached 20.4 million globally in 2024, up 15% from 2020, an increase driven by aging populations and better detection in low- and middle-income nations. Medicare lifted prior-authorization hurdles and now pays up to USD 3,200 per comprehensive genomic profile, boosting test utilization by 60% in Q1 2025 alone.[2]Centers for Medicare &amp; Medicaid Services, â€œNational Coverage Determinations for Genomic Testing,â€ cms.gov Germany, Japan, and the United Kingdom followed with similar reimbursement upgrades in 2025, sending a clear market signal that molecular information is now the standard of care. As a result, insurers worldwide are increasingly covering upfront profiling for lung, colorectal, and ovarian cancers, where actionable mutations have a prevalence exceeding 60%.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Companion-Diagnostic Approvals Accelerating CommercializationThe FDA cleared a record 18 companion diagnostics in 2025, including liquid-biopsy assays that eliminate the need for tissue re-biopsy in patients with scant archival specimens. Rocheâ€™s Ventana PD-L1 SP263 assay secured expanded approval with durvalumab in early-stage non-small cell lung cancer, opening access for roughly 200,000 eligible U.S. patients each year. Guardant360 CDx became the first blood-based pan-tumor companion diagnostic, shortening test-to-treatment time and widening clinical adoption. Parallel review pathways in Europe and streamlined review processes in China further reduce approval lags, creating synchronized global launches and enabling drugmakers to reach broader markets more quickly.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Adoption of Liquid Biopsy PlatformsLiquid biopsy test volumes expanded by 85% in 2025 as oncologists utilized circulating tumor DNA assays for minimal residual disease surveillance across colorectal and breast cancers. GRAILâ€™s Galleri test screens for more than 50 tumors through cell-free DNA methylation and shows 67% sensitivity at 99.5% specificity in asymptomatic adults, a landmark performance that prompted Englandâ€™s National Health Service to launch a 140,000-person pilot in late 2025. Nateraâ€™s Signatera now guides adjuvant therapy by detecting relapse six to twelve months before imaging, and Chinese demand is climbing as two provinces added circulating-tumor-DNA coverage to reimbursement schedules.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Precision Oncology Market*Restraint | (~) % Impact on CAGR Forecast | Geographic Relevance | Impact Timeline | </w:t>
      </w:r>
    </w:p>
    <w:p>
      <w:pPr/>
      <w:r>
        <w:rPr>
          <w:rFonts w:ascii="Helvetica" w:hAnsi="Helvetica" w:cs="Helvetica"/>
          <w:sz w:val="24"/>
          <w:sz-cs w:val="24"/>
          <w:spacing w:val="0"/>
          <w:color w:val="000000"/>
        </w:rPr>
        <w:t xml:space="preserve">High Cost of Personalized Therapeutics &amp; Testing | -1.2% | Global | Long term (â‰¥4 years) | </w:t>
      </w:r>
    </w:p>
    <w:p>
      <w:pPr/>
      <w:r>
        <w:rPr>
          <w:rFonts w:ascii="Helvetica" w:hAnsi="Helvetica" w:cs="Helvetica"/>
          <w:sz w:val="24"/>
          <w:sz-cs w:val="24"/>
          <w:spacing w:val="0"/>
          <w:color w:val="000000"/>
        </w:rPr>
        <w:t xml:space="preserve">Regulatory &amp; Payer Uncertainties | -0.9% | Global | Medium term (2-4 years) | </w:t>
      </w:r>
    </w:p>
    <w:p>
      <w:pPr/>
      <w:r>
        <w:rPr>
          <w:rFonts w:ascii="Helvetica" w:hAnsi="Helvetica" w:cs="Helvetica"/>
          <w:sz w:val="24"/>
          <w:sz-cs w:val="24"/>
          <w:spacing w:val="0"/>
          <w:color w:val="000000"/>
        </w:rPr>
        <w:t xml:space="preserve">Data-Privacy / Interoperability Barriers | -0.6% | Europe, North America | Medium term (2-4 years) | </w:t>
      </w:r>
    </w:p>
    <w:p>
      <w:pPr/>
      <w:r>
        <w:rPr>
          <w:rFonts w:ascii="Helvetica" w:hAnsi="Helvetica" w:cs="Helvetica"/>
          <w:sz w:val="24"/>
          <w:sz-cs w:val="24"/>
          <w:spacing w:val="0"/>
          <w:color w:val="000000"/>
        </w:rPr>
        <w:t xml:space="preserve">Genomic-Database Ethnic Skew | -0.5% | APAC, Africa, Latin America | Long term (â‰¥4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Cost of Personalized Therapeutics &amp; TestingTargeted drugs, such as antibody-drug conjugates, regularly exceed USD 200,000 annually, far outstripping the health budget capacity in emerging economies. Comprehensive genomic profiling remains self-funded in India, Indonesia, and Brazil, where household income cannot absorb a USD 3,000 test. Even within high-income countries, payers demand real-world evidence proving cost-effectiveness at a level below USD 150,000 per quality-adjusted life year, which muddies coverage decisions for new therapies. Patent exclusivity on next-generation inhibitors delays biosimilar entry until after 2030, keeping drug prices elevated and curbing uptake.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&amp; Payer UncertaintiesFragmented global regulations require separate validation studies for the same assay, extending development time and expense.[3]European Commission, â€œIn Vitro Diagnostic Regulation Guidance,â€ ec.europa.eu Europeâ€™s In Vitro Diagnostic Regulation imposed performance-study mandates that add more than a year to many submissions. At the same time, some U.S. insurers still reimburse molecular tests only after first-line therapy has failed, thereby diminishing the clinical value of early profiling. The inconsistent stance on polygenic risk scores and tumor-mutational-burden panels introduces forecasting risk for laboratories and investors.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Type: Diagnostics Momentum Overtakes TherapeuticsDiagnostics are expected to post a 10.06% CAGR from 2026 to 2031, even as therapeutics held 58.81% precision oncology market share in 2025. Continuous monitoring through circulating tumor DNA (ctDNA) turns testing into a recurring service, raising lifetime revenue per patient and making the diagnostics segment a structural growth driver within the broader precision oncology market. Liquid biopsy platforms, such as Signatera and Guardant360, deliver molecular insights every three to six months, creating new billing events and embedding laboratories deeper in care pathways. Exact Sciences processed over 2 million Cologuard liquid-biopsy colorectal screens within six months of its launch in 2025, demonstrating that non-invasive tests can reach a population scale when insurers reimburse first-line use.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Therapeutics growth faces mature classes and patent expiries yet still benefits from rising biomarker-defined patient pools. Twelve precision oncology therapeutics gained FDA clearance in 2025, fewer than in 2024, reflecting the maturation of the EGFR and ALK franchises. Drug developers increasingly co-develop diagnostics from early clinical phases, which improves payer confidence but lengthens timelines. Nevertheless, label expansions into adjuvant and neoadjuvant settings will support the precision oncology market as broader patient cohorts become eligible for biomarker-guided treatment.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4.0.By Technology: FISH Rebounds on Spatial Biology NeedsFluorescence in situ hybridization is projected to grow at a 10.72% CAGR to 2031, as spatial biology demands gene-locus visualization that next-generation sequencing cannot provide. Expanded FDA clearance of Abbottâ€™s digital-pathology-compatible ALK Break-Apart probe cuts turnaround times to less than two days, a key advantage for time-sensitive lung cancer cases. FISH also anchors multi-omics spatial platforms such as Visium HD, which overlay transcriptomic maps onto tissue architecture to decode immune-cell positioning.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Next-generation sequencing remains the mainstay, accounting for 36.73% of the precision oncology market size in 2025, with a dominant presence in academic centers. Growth now depends on adopting community practices that run far lower sample volumes yet collectively care for the majority of patients. PCR-based hotspot panels continue to serve as a rapid method for detecting EGFR or KRAS mutations, where a sub-24-hour response influences emergency therapy. Microarray and other technologies retain niche roles in germline testing and gene-expression signatures, sustaining diversified demand across the precision oncology market.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Biomarker Type: Epigenomic Signatures Gain ShareGenomic biomarkers still accounted for 31.48% of the precision oncology market size in 2025, but epigenomic assays are projected to expand at an 8.79% CAGR through 2031. Methylation-based liquid biopsy detects cancer signal in early stages with sensitivity that eclipses traditional tumor markers, pushing adoption beyond high-risk populations. The USPSTF now recommends Cologuardâ€™s combined methylation and mutation panel as a first-line colorectal screening option, potentially opening a vast asymptomatic segment.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Proteomic, transcriptomic, and metabolomic markers provide complementary layers that refine therapy decisions. Mass-spectrometry cytokine panels forecast immunotherapy response more reliably than PD-L1 staining. Gene-expression signatures guide chemotherapy omission in hormone-receptor-positive breast cancer, sparing thousands from cytotoxic regimens each year. Metabolomics remains research-oriented, yet early data suggest tumor lactate and glutamine levels could soon inform eligibility for metabolic-pathway inhibitors. The multidimensional trend reinforces the precision oncology market pursuit of holistic tumor characterization.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4.0.By Cancer Type: Prostate Growth Outstrips Breast DominanceBreast cancer contributed 49.26% of 2025 revenue, anchoring the precision oncology market with mature HER2, hormone-receptor, and BRCA testing pathways. Market saturation tempers its forward CAGR, whereas prostate cancer is set to experience a 11.53% CAGR through 2031, following Medicare's decision to reimburse germline testing for every new diagnosis, which has led to a 150% increase in testing volume within six months. PARP-inhibitor companion diagnostics extend molecular targeting beyond BRCA into ATM and CHEK2 defects, further broadening precision eligibility.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Lung and colorectal cancers continue to benefit from the expansion of EGFR, ALK, and KRAS panels, particularly in Asia-Pacific, where mutation frequencies are high. Caris Life Sciences profiled more than 100,000 tumors in 2025, with lung and colorectal cancers accounting for 45% of volume. Rare tumors such as cholangiocarcinoma gain new targeted options as fibroblast growth factor receptor fusions are routinely screened. Broader genomic interrogation continues to bring small-population cancers into the revenue fold, supporting the overall expansion of the precision oncology market.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Laboratories Capture Outsourced VolumeHospitals and cancer centers owned 69.16% of the precision oncology market share in 2025, thanks to the integration of tumor boards and on-site pathology. Yet, independent diagnostic laboratories will outpace the market with a 12.27% CAGR through 2031, as decentralized testing lowers capital barriers for community practices. Labcorp and Quest jointly processed more than 1.5 million precision oncology tests in 2025, a 70% surge from 2024.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Research institutions drive the development of cutting-edge single-cell and spatial methods, but their commercial share remains below 5%. Drug developers increasingly outsource biomarker screening to reference labs for trial enrollment, adding another growth leg. Direct-to-consumer liquid biopsies enter routine preventive care as payers cover early detection for high-risk cohorts, expanding the addressable testing pool well beyond hospital walls and sustaining momentum in the precision oncology market.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Precision Oncology MarketNorth America commanded 42.83% of the revenue in 2025, following the expansion of Medicare's genomic test coverage and the FDA's acceleration of companion diagnostic reviews. The region maintains leadership through widespread payer reimbursement and a dense sequencing infrastructure, yet its CAGR trails that of the Asia-Pacific region because penetration already exceeds 70% of eligible patients.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Precision Oncology MarketAsia-Pacific is forecast to post a 13.27% CAGR from 2026 to 2031, the fastest of any region, buoyed by Chinaâ€™s 12 companion-diagnostic approvals in 2025 and provincial insurance that reimburses up to CNY 20,000 (USD 2,800) per comprehensive profile. BGI Genomics processed 800,000 oncology samples in 2025 and plans a 50% increase in capacity for 2026. Japan increased the payment for genomic profiling to JPY 800,000 (approximately USD 5,300), aligning with global benchmarks and encouraging domestic labs to adopt high-throughput sequencers.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Precision Oncology MarketImplementation of the In Vitro Diagnostic Regulation adds cost but harmonizes quality, ensuring reliable data across borders. Whole-genome sequencing within the U.K. Genomic Medicine Service doubled test volume in a year, and France launched regional molecular-tumor-board networks that mandate comprehensive profiling for advanced tumors.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South America Precision Oncology MarketSouth America and the Middle East &amp; Africa together contribute less than 10% of the spend due to limited public coverage. Brazil cleared six companion diagnostics in 2025; however, without broad reimbursement, fewer than 20% of eligible patients receive the tests. South African private insurers now cover comprehensive genomic profiling, whereas government programs lag, leaving the majority excluded and limiting growth.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LandscapeTop Companies in the Precision Oncology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precision oncology market is moderately concentrated, with the top five suppliers being Illumina, Roche, Thermo Fisher Scientific, QIAGEN, and Guardant Health. Illuminaâ€™s 70% installed-base share in sequencing instruments locks users into its consumables, although Oxford Nanopore is gaining traction for long-read applications that detect structural variants. Rocheâ€™s vertical integration following the acquisition of Foundation Medicine enables it to bundle tissue, liquid biopsy, and companion diagnostic services, prompting rivals to pursue similar strategies through mergers and partnerships.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Thermo Fisher maintains its strength in PCR and targeted panels, shipping more than 500,000 Oncomine Dx Target Tests in 2025 to community hospitals without a sequencing lab. Guardant Health leads in high-volume blood-based comprehensive profiling and is expanding its applications in minimal residual disease. QIAGEN differentiates itself through sample preparation and bioinformatics, while Sophia Genetics processes data from 750 hospitals across 70 countries through its cloud AI engine, democratizing analytics.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opportunities emerge in multi-cancer early detection and minimal residual disease for solid tumors. Patent filings for single-cell multi-omics increased by 40% in 2025; 10x Genomics, NanoString, and BGI dominate the spatial transcriptomics IP landscape. Personalis and Adaptive Biotechnologies compete on ultra-deep tumor-informed assays with demonstrated 95% sensitivity. As payers reward early detection and recurrence monitoring, startups with scalable liquid biopsy platforms can capture a share without owning instrumentation, widening the competitive field within the precision oncology market.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Precision Oncology Industry Leaders* F. Hoffmann-La Roche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Illumina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Labcorp (Invitae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Novartis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Thermo Fisher Scientific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4.0.Precision Oncology Market Companies Covered in this Report* Adaptive Biotechnologies</w:t>
      </w:r>
    </w:p>
    <w:p>
      <w:pPr/>
      <w:r>
        <w:rPr>
          <w:rFonts w:ascii="Helvetica" w:hAnsi="Helvetica" w:cs="Helvetica"/>
          <w:sz w:val="24"/>
          <w:sz-cs w:val="24"/>
          <w:spacing w:val="0"/>
          <w:color w:val="000000"/>
        </w:rPr>
        <w:t xml:space="preserve">* Agendia NV</w:t>
      </w:r>
    </w:p>
    <w:p>
      <w:pPr/>
      <w:r>
        <w:rPr>
          <w:rFonts w:ascii="Helvetica" w:hAnsi="Helvetica" w:cs="Helvetica"/>
          <w:sz w:val="24"/>
          <w:sz-cs w:val="24"/>
          <w:spacing w:val="0"/>
          <w:color w:val="000000"/>
        </w:rPr>
        <w:t xml:space="preserve">* BGI</w:t>
      </w:r>
    </w:p>
    <w:p>
      <w:pPr/>
      <w:r>
        <w:rPr>
          <w:rFonts w:ascii="Helvetica" w:hAnsi="Helvetica" w:cs="Helvetica"/>
          <w:sz w:val="24"/>
          <w:sz-cs w:val="24"/>
          <w:spacing w:val="0"/>
          <w:color w:val="000000"/>
        </w:rPr>
        <w:t xml:space="preserve">* Burning Rock Biotech</w:t>
      </w:r>
    </w:p>
    <w:p>
      <w:pPr/>
      <w:r>
        <w:rPr>
          <w:rFonts w:ascii="Helvetica" w:hAnsi="Helvetica" w:cs="Helvetica"/>
          <w:sz w:val="24"/>
          <w:sz-cs w:val="24"/>
          <w:spacing w:val="0"/>
          <w:color w:val="000000"/>
        </w:rPr>
        <w:t xml:space="preserve">* Caris Life Sciences</w:t>
      </w:r>
    </w:p>
    <w:p>
      <w:pPr/>
      <w:r>
        <w:rPr>
          <w:rFonts w:ascii="Helvetica" w:hAnsi="Helvetica" w:cs="Helvetica"/>
          <w:sz w:val="24"/>
          <w:sz-cs w:val="24"/>
          <w:spacing w:val="0"/>
          <w:color w:val="000000"/>
        </w:rPr>
        <w:t xml:space="preserve">* Exact Sciences</w:t>
      </w:r>
    </w:p>
    <w:p>
      <w:pPr/>
      <w:r>
        <w:rPr>
          <w:rFonts w:ascii="Helvetica" w:hAnsi="Helvetica" w:cs="Helvetica"/>
          <w:sz w:val="24"/>
          <w:sz-cs w:val="24"/>
          <w:spacing w:val="0"/>
          <w:color w:val="000000"/>
        </w:rPr>
        <w:t xml:space="preserve">* Foundation Medicine Inc.</w:t>
      </w:r>
    </w:p>
    <w:p>
      <w:pPr/>
      <w:r>
        <w:rPr>
          <w:rFonts w:ascii="Helvetica" w:hAnsi="Helvetica" w:cs="Helvetica"/>
          <w:sz w:val="24"/>
          <w:sz-cs w:val="24"/>
          <w:spacing w:val="0"/>
          <w:color w:val="000000"/>
        </w:rPr>
        <w:t xml:space="preserve">* Roche</w:t>
      </w:r>
    </w:p>
    <w:p>
      <w:pPr/>
      <w:r>
        <w:rPr>
          <w:rFonts w:ascii="Helvetica" w:hAnsi="Helvetica" w:cs="Helvetica"/>
          <w:sz w:val="24"/>
          <w:sz-cs w:val="24"/>
          <w:spacing w:val="0"/>
          <w:color w:val="000000"/>
        </w:rPr>
        <w:t xml:space="preserve">* GRAIL LLC</w:t>
      </w:r>
    </w:p>
    <w:p>
      <w:pPr/>
      <w:r>
        <w:rPr>
          <w:rFonts w:ascii="Helvetica" w:hAnsi="Helvetica" w:cs="Helvetica"/>
          <w:sz w:val="24"/>
          <w:sz-cs w:val="24"/>
          <w:spacing w:val="0"/>
          <w:color w:val="000000"/>
        </w:rPr>
        <w:t xml:space="preserve">* Guardant Health</w:t>
      </w:r>
    </w:p>
    <w:p>
      <w:pPr/>
      <w:r>
        <w:rPr>
          <w:rFonts w:ascii="Helvetica" w:hAnsi="Helvetica" w:cs="Helvetica"/>
          <w:sz w:val="24"/>
          <w:sz-cs w:val="24"/>
          <w:spacing w:val="0"/>
          <w:color w:val="000000"/>
        </w:rPr>
        <w:t xml:space="preserve">* Illumina</w:t>
      </w:r>
    </w:p>
    <w:p>
      <w:pPr/>
      <w:r>
        <w:rPr>
          <w:rFonts w:ascii="Helvetica" w:hAnsi="Helvetica" w:cs="Helvetica"/>
          <w:sz w:val="24"/>
          <w:sz-cs w:val="24"/>
          <w:spacing w:val="0"/>
          <w:color w:val="000000"/>
        </w:rPr>
        <w:t xml:space="preserve">* LabCorp</w:t>
      </w:r>
    </w:p>
    <w:p>
      <w:pPr/>
      <w:r>
        <w:rPr>
          <w:rFonts w:ascii="Helvetica" w:hAnsi="Helvetica" w:cs="Helvetica"/>
          <w:sz w:val="24"/>
          <w:sz-cs w:val="24"/>
          <w:spacing w:val="0"/>
          <w:color w:val="000000"/>
        </w:rPr>
        <w:t xml:space="preserve">* Myriad Genetics</w:t>
      </w:r>
    </w:p>
    <w:p>
      <w:pPr/>
      <w:r>
        <w:rPr>
          <w:rFonts w:ascii="Helvetica" w:hAnsi="Helvetica" w:cs="Helvetica"/>
          <w:sz w:val="24"/>
          <w:sz-cs w:val="24"/>
          <w:spacing w:val="0"/>
          <w:color w:val="000000"/>
        </w:rPr>
        <w:t xml:space="preserve">* NanoString Technologies</w:t>
      </w:r>
    </w:p>
    <w:p>
      <w:pPr/>
      <w:r>
        <w:rPr>
          <w:rFonts w:ascii="Helvetica" w:hAnsi="Helvetica" w:cs="Helvetica"/>
          <w:sz w:val="24"/>
          <w:sz-cs w:val="24"/>
          <w:spacing w:val="0"/>
          <w:color w:val="000000"/>
        </w:rPr>
        <w:t xml:space="preserve">* Natera</w:t>
      </w:r>
    </w:p>
    <w:p>
      <w:pPr/>
      <w:r>
        <w:rPr>
          <w:rFonts w:ascii="Helvetica" w:hAnsi="Helvetica" w:cs="Helvetica"/>
          <w:sz w:val="24"/>
          <w:sz-cs w:val="24"/>
          <w:spacing w:val="0"/>
          <w:color w:val="000000"/>
        </w:rPr>
        <w:t xml:space="preserve">* NeoGenomics Laboratories</w:t>
      </w:r>
    </w:p>
    <w:p>
      <w:pPr/>
      <w:r>
        <w:rPr>
          <w:rFonts w:ascii="Helvetica" w:hAnsi="Helvetica" w:cs="Helvetica"/>
          <w:sz w:val="24"/>
          <w:sz-cs w:val="24"/>
          <w:spacing w:val="0"/>
          <w:color w:val="000000"/>
        </w:rPr>
        <w:t xml:space="preserve">* Novartis</w:t>
      </w:r>
    </w:p>
    <w:p>
      <w:pPr/>
      <w:r>
        <w:rPr>
          <w:rFonts w:ascii="Helvetica" w:hAnsi="Helvetica" w:cs="Helvetica"/>
          <w:sz w:val="24"/>
          <w:sz-cs w:val="24"/>
          <w:spacing w:val="0"/>
          <w:color w:val="000000"/>
        </w:rPr>
        <w:t xml:space="preserve">* Oxford Nanopore Technologies</w:t>
      </w:r>
    </w:p>
    <w:p>
      <w:pPr/>
      <w:r>
        <w:rPr>
          <w:rFonts w:ascii="Helvetica" w:hAnsi="Helvetica" w:cs="Helvetica"/>
          <w:sz w:val="24"/>
          <w:sz-cs w:val="24"/>
          <w:spacing w:val="0"/>
          <w:color w:val="000000"/>
        </w:rPr>
        <w:t xml:space="preserve">* Personalis Inc.</w:t>
      </w:r>
    </w:p>
    <w:p>
      <w:pPr/>
      <w:r>
        <w:rPr>
          <w:rFonts w:ascii="Helvetica" w:hAnsi="Helvetica" w:cs="Helvetica"/>
          <w:sz w:val="24"/>
          <w:sz-cs w:val="24"/>
          <w:spacing w:val="0"/>
          <w:color w:val="000000"/>
        </w:rPr>
        <w:t xml:space="preserve">* QIAGEN</w:t>
      </w:r>
    </w:p>
    <w:p>
      <w:pPr/>
      <w:r>
        <w:rPr>
          <w:rFonts w:ascii="Helvetica" w:hAnsi="Helvetica" w:cs="Helvetica"/>
          <w:sz w:val="24"/>
          <w:sz-cs w:val="24"/>
          <w:spacing w:val="0"/>
          <w:color w:val="000000"/>
        </w:rPr>
        <w:t xml:space="preserve">* Sophia Genetics</w:t>
      </w:r>
    </w:p>
    <w:p>
      <w:pPr/>
      <w:r>
        <w:rPr>
          <w:rFonts w:ascii="Helvetica" w:hAnsi="Helvetica" w:cs="Helvetica"/>
          <w:sz w:val="24"/>
          <w:sz-cs w:val="24"/>
          <w:spacing w:val="0"/>
          <w:color w:val="000000"/>
        </w:rPr>
        <w:t xml:space="preserve">* Strata Oncology Inc.</w:t>
      </w:r>
    </w:p>
    <w:p>
      <w:pPr/>
      <w:r>
        <w:rPr>
          <w:rFonts w:ascii="Helvetica" w:hAnsi="Helvetica" w:cs="Helvetica"/>
          <w:sz w:val="24"/>
          <w:sz-cs w:val="24"/>
          <w:spacing w:val="0"/>
          <w:color w:val="000000"/>
        </w:rPr>
        <w:t xml:space="preserve">* Tempus Labs Inc.</w:t>
      </w:r>
    </w:p>
    <w:p>
      <w:pPr/>
      <w:r>
        <w:rPr>
          <w:rFonts w:ascii="Helvetica" w:hAnsi="Helvetica" w:cs="Helvetica"/>
          <w:sz w:val="24"/>
          <w:sz-cs w:val="24"/>
          <w:spacing w:val="0"/>
          <w:color w:val="000000"/>
        </w:rPr>
        <w:t xml:space="preserve">* Thermo Fisher Scientific</w:t>
      </w:r>
    </w:p>
    <w:p>
      <w:pPr/>
      <w:r>
        <w:rPr>
          <w:rFonts w:ascii="Helvetica" w:hAnsi="Helvetica" w:cs="Helvetica"/>
          <w:sz w:val="24"/>
          <w:sz-cs w:val="24"/>
          <w:spacing w:val="0"/>
          <w:color w:val="000000"/>
        </w:rPr>
        <w:t xml:space="preserve">Recent Industry Developments in Precision Oncology Market* February 2025: Omico, a not-for-profit leader in genomics, unveiled a pioneering model aimed at making cutting-edge cancer treatments accessible and routine for Australians grappling with rare and complex cancers. The Precision Oncology Health System Incubator (PrO-HSI) charts a strategic investment route, leveraging multi-sector funding and existing policy frameworks. Its goal is to seamlessly weave advanced therapies into current cancer care, all while safeguarding public resources in light of a shrinking taxpayer base and an ageing demographic.</w:t>
      </w:r>
    </w:p>
    <w:p>
      <w:pPr/>
      <w:r>
        <w:rPr>
          <w:rFonts w:ascii="Helvetica" w:hAnsi="Helvetica" w:cs="Helvetica"/>
          <w:sz w:val="24"/>
          <w:sz-cs w:val="24"/>
          <w:spacing w:val="0"/>
          <w:color w:val="000000"/>
        </w:rPr>
        <w:t xml:space="preserve">* December 2024: At the Aster Cancer Conclave 2024, Aster DM Healthcare, an integrated healthcare provider in India, unveiled three significant initiatives: Precision Oncology Clinics, the Aster Cancer Grid, and Onco Collect. These initiatives signify a major leap forward in India's cancer treatment landscape. The conclave, which drew prominent oncologists, researchers, and industry experts from both national and international arenas, showcased the forefront of advancements in cancer care and treatment.</w:t>
      </w:r>
    </w:p>
    <w:p>
      <w:pPr/>
      <w:r>
        <w:rPr>
          <w:rFonts w:ascii="Helvetica" w:hAnsi="Helvetica" w:cs="Helvetica"/>
          <w:sz w:val="24"/>
          <w:sz-cs w:val="24"/>
          <w:spacing w:val="0"/>
          <w:color w:val="000000"/>
        </w:rPr>
        <w:t xml:space="preserve">* March 2024: Bayer and Aignostics GmbH unveiled a strategic partnership, harnessing artificial intelligence (AI) for precision oncology drug research and development. Aignostics, a spin-off from the renowned CharitÃ©-UniversitÃ¤tsmedizin Berlin hospital, stands at the forefront of computational pathology, adeptly translating intricate biomedical data into actionable biological insights.</w:t>
      </w:r>
    </w:p>
    <w:p>
      <w:pPr/>
      <w:r>
        <w:rPr>
          <w:rFonts w:ascii="Helvetica" w:hAnsi="Helvetica" w:cs="Helvetica"/>
          <w:sz w:val="24"/>
          <w:sz-cs w:val="24"/>
          <w:spacing w:val="0"/>
          <w:color w:val="000000"/>
        </w:rPr>
        <w:t xml:space="preserve">Table of Contents for Precision Oncology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Advancements in NGS &amp; AI-Driven Analytics</w:t>
      </w:r>
    </w:p>
    <w:p>
      <w:pPr/>
      <w:r>
        <w:rPr>
          <w:rFonts w:ascii="Helvetica" w:hAnsi="Helvetica" w:cs="Helvetica"/>
          <w:sz w:val="24"/>
          <w:sz-cs w:val="24"/>
          <w:spacing w:val="0"/>
          <w:color w:val="000000"/>
        </w:rPr>
        <w:t xml:space="preserve">* 4.2.2 Rising Cancer Incidence &amp; Favorable Reimbursement</w:t>
      </w:r>
    </w:p>
    <w:p>
      <w:pPr/>
      <w:r>
        <w:rPr>
          <w:rFonts w:ascii="Helvetica" w:hAnsi="Helvetica" w:cs="Helvetica"/>
          <w:sz w:val="24"/>
          <w:sz-cs w:val="24"/>
          <w:spacing w:val="0"/>
          <w:color w:val="000000"/>
        </w:rPr>
        <w:t xml:space="preserve">* 4.2.3 Companion-Diagnostic Approvals Accelerating Commercialisation</w:t>
      </w:r>
    </w:p>
    <w:p>
      <w:pPr/>
      <w:r>
        <w:rPr>
          <w:rFonts w:ascii="Helvetica" w:hAnsi="Helvetica" w:cs="Helvetica"/>
          <w:sz w:val="24"/>
          <w:sz-cs w:val="24"/>
          <w:spacing w:val="0"/>
          <w:color w:val="000000"/>
        </w:rPr>
        <w:t xml:space="preserve">* 4.2.4 Rapid Adoption of Liquid Biopsy Platforms</w:t>
      </w:r>
    </w:p>
    <w:p>
      <w:pPr/>
      <w:r>
        <w:rPr>
          <w:rFonts w:ascii="Helvetica" w:hAnsi="Helvetica" w:cs="Helvetica"/>
          <w:sz w:val="24"/>
          <w:sz-cs w:val="24"/>
          <w:spacing w:val="0"/>
          <w:color w:val="000000"/>
        </w:rPr>
        <w:t xml:space="preserve">* 4.2.5 Single-Cell Multi-Omics Integration</w:t>
      </w:r>
    </w:p>
    <w:p>
      <w:pPr/>
      <w:r>
        <w:rPr>
          <w:rFonts w:ascii="Helvetica" w:hAnsi="Helvetica" w:cs="Helvetica"/>
          <w:sz w:val="24"/>
          <w:sz-cs w:val="24"/>
          <w:spacing w:val="0"/>
          <w:color w:val="000000"/>
        </w:rPr>
        <w:t xml:space="preserve">* 4.2.6 Decentralised Clinical-Trial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Cost of Personalised Therapeutics &amp; Testing</w:t>
      </w:r>
    </w:p>
    <w:p>
      <w:pPr/>
      <w:r>
        <w:rPr>
          <w:rFonts w:ascii="Helvetica" w:hAnsi="Helvetica" w:cs="Helvetica"/>
          <w:sz w:val="24"/>
          <w:sz-cs w:val="24"/>
          <w:spacing w:val="0"/>
          <w:color w:val="000000"/>
        </w:rPr>
        <w:t xml:space="preserve">* 4.3.2 Regulatory &amp; Payer Uncertainties</w:t>
      </w:r>
    </w:p>
    <w:p>
      <w:pPr/>
      <w:r>
        <w:rPr>
          <w:rFonts w:ascii="Helvetica" w:hAnsi="Helvetica" w:cs="Helvetica"/>
          <w:sz w:val="24"/>
          <w:sz-cs w:val="24"/>
          <w:spacing w:val="0"/>
          <w:color w:val="000000"/>
        </w:rPr>
        <w:t xml:space="preserve">* 4.3.3 Data-Privacy / Interoperability Barriers</w:t>
      </w:r>
    </w:p>
    <w:p>
      <w:pPr/>
      <w:r>
        <w:rPr>
          <w:rFonts w:ascii="Helvetica" w:hAnsi="Helvetica" w:cs="Helvetica"/>
          <w:sz w:val="24"/>
          <w:sz-cs w:val="24"/>
          <w:spacing w:val="0"/>
          <w:color w:val="000000"/>
        </w:rPr>
        <w:t xml:space="preserve">* 4.3.4 Genomic-Database Ethnic Skew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Landscape</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Porterâ€™s Five Forces Analysis* 4.6.1 Threat of New Entrants</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4.6.3 Bargaining Power of Suppliers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Type* 5.1.1 Therapeutics</w:t>
      </w:r>
    </w:p>
    <w:p>
      <w:pPr/>
      <w:r>
        <w:rPr>
          <w:rFonts w:ascii="Helvetica" w:hAnsi="Helvetica" w:cs="Helvetica"/>
          <w:sz w:val="24"/>
          <w:sz-cs w:val="24"/>
          <w:spacing w:val="0"/>
          <w:color w:val="000000"/>
        </w:rPr>
        <w:t xml:space="preserve">* 5.1.2 Diagnostics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Technology* 5.2.1 Next-Generation Sequencing (NGS)</w:t>
      </w:r>
    </w:p>
    <w:p>
      <w:pPr/>
      <w:r>
        <w:rPr>
          <w:rFonts w:ascii="Helvetica" w:hAnsi="Helvetica" w:cs="Helvetica"/>
          <w:sz w:val="24"/>
          <w:sz-cs w:val="24"/>
          <w:spacing w:val="0"/>
          <w:color w:val="000000"/>
        </w:rPr>
        <w:t xml:space="preserve">* 5.2.2 Polymerase Chain Reaction (PCR)</w:t>
      </w:r>
    </w:p>
    <w:p>
      <w:pPr/>
      <w:r>
        <w:rPr>
          <w:rFonts w:ascii="Helvetica" w:hAnsi="Helvetica" w:cs="Helvetica"/>
          <w:sz w:val="24"/>
          <w:sz-cs w:val="24"/>
          <w:spacing w:val="0"/>
          <w:color w:val="000000"/>
        </w:rPr>
        <w:t xml:space="preserve">* 5.2.3 Fluorescence In-Situ Hybridisation (FISH)</w:t>
      </w:r>
    </w:p>
    <w:p>
      <w:pPr/>
      <w:r>
        <w:rPr>
          <w:rFonts w:ascii="Helvetica" w:hAnsi="Helvetica" w:cs="Helvetica"/>
          <w:sz w:val="24"/>
          <w:sz-cs w:val="24"/>
          <w:spacing w:val="0"/>
          <w:color w:val="000000"/>
        </w:rPr>
        <w:t xml:space="preserve">* 5.2.4 Microarray</w:t>
      </w:r>
    </w:p>
    <w:p>
      <w:pPr/>
      <w:r>
        <w:rPr>
          <w:rFonts w:ascii="Helvetica" w:hAnsi="Helvetica" w:cs="Helvetica"/>
          <w:sz w:val="24"/>
          <w:sz-cs w:val="24"/>
          <w:spacing w:val="0"/>
          <w:color w:val="000000"/>
        </w:rPr>
        <w:t xml:space="preserve">* 5.2.5 Other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Biomarker Type* 5.3.1 Genomic Biomarkers</w:t>
      </w:r>
    </w:p>
    <w:p>
      <w:pPr/>
      <w:r>
        <w:rPr>
          <w:rFonts w:ascii="Helvetica" w:hAnsi="Helvetica" w:cs="Helvetica"/>
          <w:sz w:val="24"/>
          <w:sz-cs w:val="24"/>
          <w:spacing w:val="0"/>
          <w:color w:val="000000"/>
        </w:rPr>
        <w:t xml:space="preserve">* 5.3.2 Proteomic Biomarkers</w:t>
      </w:r>
    </w:p>
    <w:p>
      <w:pPr/>
      <w:r>
        <w:rPr>
          <w:rFonts w:ascii="Helvetica" w:hAnsi="Helvetica" w:cs="Helvetica"/>
          <w:sz w:val="24"/>
          <w:sz-cs w:val="24"/>
          <w:spacing w:val="0"/>
          <w:color w:val="000000"/>
        </w:rPr>
        <w:t xml:space="preserve">* 5.3.3 Epigenomic Biomarkers</w:t>
      </w:r>
    </w:p>
    <w:p>
      <w:pPr/>
      <w:r>
        <w:rPr>
          <w:rFonts w:ascii="Helvetica" w:hAnsi="Helvetica" w:cs="Helvetica"/>
          <w:sz w:val="24"/>
          <w:sz-cs w:val="24"/>
          <w:spacing w:val="0"/>
          <w:color w:val="000000"/>
        </w:rPr>
        <w:t xml:space="preserve">* 5.3.4 Transcriptomic Biomarkers</w:t>
      </w:r>
    </w:p>
    <w:p>
      <w:pPr/>
      <w:r>
        <w:rPr>
          <w:rFonts w:ascii="Helvetica" w:hAnsi="Helvetica" w:cs="Helvetica"/>
          <w:sz w:val="24"/>
          <w:sz-cs w:val="24"/>
          <w:spacing w:val="0"/>
          <w:color w:val="000000"/>
        </w:rPr>
        <w:t xml:space="preserve">* 5.3.5 Metabolomic Biomarkers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Cancer Type* 5.4.1 Breast Cancer</w:t>
      </w:r>
    </w:p>
    <w:p>
      <w:pPr/>
      <w:r>
        <w:rPr>
          <w:rFonts w:ascii="Helvetica" w:hAnsi="Helvetica" w:cs="Helvetica"/>
          <w:sz w:val="24"/>
          <w:sz-cs w:val="24"/>
          <w:spacing w:val="0"/>
          <w:color w:val="000000"/>
        </w:rPr>
        <w:t xml:space="preserve">* 5.4.2 Lung Cancer</w:t>
      </w:r>
    </w:p>
    <w:p>
      <w:pPr/>
      <w:r>
        <w:rPr>
          <w:rFonts w:ascii="Helvetica" w:hAnsi="Helvetica" w:cs="Helvetica"/>
          <w:sz w:val="24"/>
          <w:sz-cs w:val="24"/>
          <w:spacing w:val="0"/>
          <w:color w:val="000000"/>
        </w:rPr>
        <w:t xml:space="preserve">* 5.4.3 Colorectal Cancer</w:t>
      </w:r>
    </w:p>
    <w:p>
      <w:pPr/>
      <w:r>
        <w:rPr>
          <w:rFonts w:ascii="Helvetica" w:hAnsi="Helvetica" w:cs="Helvetica"/>
          <w:sz w:val="24"/>
          <w:sz-cs w:val="24"/>
          <w:spacing w:val="0"/>
          <w:color w:val="000000"/>
        </w:rPr>
        <w:t xml:space="preserve">* 5.4.4 Prostate Cancer</w:t>
      </w:r>
    </w:p>
    <w:p>
      <w:pPr/>
      <w:r>
        <w:rPr>
          <w:rFonts w:ascii="Helvetica" w:hAnsi="Helvetica" w:cs="Helvetica"/>
          <w:sz w:val="24"/>
          <w:sz-cs w:val="24"/>
          <w:spacing w:val="0"/>
          <w:color w:val="000000"/>
        </w:rPr>
        <w:t xml:space="preserve">* 5.4.5 Other Cancers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End-User* 5.5.1 Hospitals &amp; Cancer Centres</w:t>
      </w:r>
    </w:p>
    <w:p>
      <w:pPr/>
      <w:r>
        <w:rPr>
          <w:rFonts w:ascii="Helvetica" w:hAnsi="Helvetica" w:cs="Helvetica"/>
          <w:sz w:val="24"/>
          <w:sz-cs w:val="24"/>
          <w:spacing w:val="0"/>
          <w:color w:val="000000"/>
        </w:rPr>
        <w:t xml:space="preserve">* 5.5.2 Diagnostic Laboratories</w:t>
      </w:r>
    </w:p>
    <w:p>
      <w:pPr/>
      <w:r>
        <w:rPr>
          <w:rFonts w:ascii="Helvetica" w:hAnsi="Helvetica" w:cs="Helvetica"/>
          <w:sz w:val="24"/>
          <w:sz-cs w:val="24"/>
          <w:spacing w:val="0"/>
          <w:color w:val="000000"/>
        </w:rPr>
        <w:t xml:space="preserve">* 5.5.3 Pharma &amp; Biotech Firms</w:t>
      </w:r>
    </w:p>
    <w:p>
      <w:pPr/>
      <w:r>
        <w:rPr>
          <w:rFonts w:ascii="Helvetica" w:hAnsi="Helvetica" w:cs="Helvetica"/>
          <w:sz w:val="24"/>
          <w:sz-cs w:val="24"/>
          <w:spacing w:val="0"/>
          <w:color w:val="000000"/>
        </w:rPr>
        <w:t xml:space="preserve">* 5.5.4 Research &amp; Academic Institutes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Italy</w:t>
      </w:r>
    </w:p>
    <w:p>
      <w:pPr/>
      <w:r>
        <w:rPr>
          <w:rFonts w:ascii="Helvetica" w:hAnsi="Helvetica" w:cs="Helvetica"/>
          <w:sz w:val="24"/>
          <w:sz-cs w:val="24"/>
          <w:spacing w:val="0"/>
          <w:color w:val="000000"/>
        </w:rPr>
        <w:t xml:space="preserve">* 5.6.2.5 Spain</w:t>
      </w:r>
    </w:p>
    <w:p>
      <w:pPr/>
      <w:r>
        <w:rPr>
          <w:rFonts w:ascii="Helvetica" w:hAnsi="Helvetica" w:cs="Helvetica"/>
          <w:sz w:val="24"/>
          <w:sz-cs w:val="24"/>
          <w:spacing w:val="0"/>
          <w:color w:val="000000"/>
        </w:rPr>
        <w:t xml:space="preserve">* 5.6.2.6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Japan</w:t>
      </w:r>
    </w:p>
    <w:p>
      <w:pPr/>
      <w:r>
        <w:rPr>
          <w:rFonts w:ascii="Helvetica" w:hAnsi="Helvetica" w:cs="Helvetica"/>
          <w:sz w:val="24"/>
          <w:sz-cs w:val="24"/>
          <w:spacing w:val="0"/>
          <w:color w:val="000000"/>
        </w:rPr>
        <w:t xml:space="preserve">* 5.6.3.3 India</w:t>
      </w:r>
    </w:p>
    <w:p>
      <w:pPr/>
      <w:r>
        <w:rPr>
          <w:rFonts w:ascii="Helvetica" w:hAnsi="Helvetica" w:cs="Helvetica"/>
          <w:sz w:val="24"/>
          <w:sz-cs w:val="24"/>
          <w:spacing w:val="0"/>
          <w:color w:val="000000"/>
        </w:rPr>
        <w:t xml:space="preserve">* 5.6.3.4 Australia</w:t>
      </w:r>
    </w:p>
    <w:p>
      <w:pPr/>
      <w:r>
        <w:rPr>
          <w:rFonts w:ascii="Helvetica" w:hAnsi="Helvetica" w:cs="Helvetica"/>
          <w:sz w:val="24"/>
          <w:sz-cs w:val="24"/>
          <w:spacing w:val="0"/>
          <w:color w:val="000000"/>
        </w:rPr>
        <w:t xml:space="preserve">* 5.6.3.5 South Korea</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Middle East &amp; Africa</w:t>
      </w:r>
    </w:p>
    <w:p>
      <w:pPr/>
      <w:r>
        <w:rPr>
          <w:rFonts w:ascii="Helvetica" w:hAnsi="Helvetica" w:cs="Helvetica"/>
          <w:sz w:val="24"/>
          <w:sz-cs w:val="24"/>
          <w:spacing w:val="0"/>
          <w:color w:val="000000"/>
        </w:rPr>
        <w:t xml:space="preserve">* 5.6.4.1 GCC</w:t>
      </w:r>
    </w:p>
    <w:p>
      <w:pPr/>
      <w:r>
        <w:rPr>
          <w:rFonts w:ascii="Helvetica" w:hAnsi="Helvetica" w:cs="Helvetica"/>
          <w:sz w:val="24"/>
          <w:sz-cs w:val="24"/>
          <w:spacing w:val="0"/>
          <w:color w:val="000000"/>
        </w:rPr>
        <w:t xml:space="preserve">* 5.6.4.2 South Africa</w:t>
      </w:r>
    </w:p>
    <w:p>
      <w:pPr/>
      <w:r>
        <w:rPr>
          <w:rFonts w:ascii="Helvetica" w:hAnsi="Helvetica" w:cs="Helvetica"/>
          <w:sz w:val="24"/>
          <w:sz-cs w:val="24"/>
          <w:spacing w:val="0"/>
          <w:color w:val="000000"/>
        </w:rPr>
        <w:t xml:space="preserve">* 5.6.4.3 Rest of Middle East &amp; Africa</w:t>
      </w:r>
    </w:p>
    <w:p>
      <w:pPr/>
      <w:r>
        <w:rPr>
          <w:rFonts w:ascii="Helvetica" w:hAnsi="Helvetica" w:cs="Helvetica"/>
          <w:sz w:val="24"/>
          <w:sz-cs w:val="24"/>
          <w:spacing w:val="0"/>
          <w:color w:val="000000"/>
        </w:rPr>
        <w:t xml:space="preserve">* 5.6.5 South America</w:t>
      </w:r>
    </w:p>
    <w:p>
      <w:pPr/>
      <w:r>
        <w:rPr>
          <w:rFonts w:ascii="Helvetica" w:hAnsi="Helvetica" w:cs="Helvetica"/>
          <w:sz w:val="24"/>
          <w:sz-cs w:val="24"/>
          <w:spacing w:val="0"/>
          <w:color w:val="000000"/>
        </w:rPr>
        <w:t xml:space="preserve">* 5.6.5.1 Brazil</w:t>
      </w:r>
    </w:p>
    <w:p>
      <w:pPr/>
      <w:r>
        <w:rPr>
          <w:rFonts w:ascii="Helvetica" w:hAnsi="Helvetica" w:cs="Helvetica"/>
          <w:sz w:val="24"/>
          <w:sz-cs w:val="24"/>
          <w:spacing w:val="0"/>
          <w:color w:val="000000"/>
        </w:rPr>
        <w:t xml:space="preserve">* 5.6.5.2 Argentina</w:t>
      </w:r>
    </w:p>
    <w:p>
      <w:pPr/>
      <w:r>
        <w:rPr>
          <w:rFonts w:ascii="Helvetica" w:hAnsi="Helvetica" w:cs="Helvetica"/>
          <w:sz w:val="24"/>
          <w:sz-cs w:val="24"/>
          <w:spacing w:val="0"/>
          <w:color w:val="000000"/>
        </w:rPr>
        <w:t xml:space="preserve">* 5.6.5.3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Market-level Overview, Core Segments, Financials, Strategic Information, Market Rank/Share, Products &amp; Services, Recent Developments)* 6.3.1 Adaptive Biotechnologies</w:t>
      </w:r>
    </w:p>
    <w:p>
      <w:pPr/>
      <w:r>
        <w:rPr>
          <w:rFonts w:ascii="Helvetica" w:hAnsi="Helvetica" w:cs="Helvetica"/>
          <w:sz w:val="24"/>
          <w:sz-cs w:val="24"/>
          <w:spacing w:val="0"/>
          <w:color w:val="000000"/>
        </w:rPr>
        <w:t xml:space="preserve">* 6.3.2 Agendia NV</w:t>
      </w:r>
    </w:p>
    <w:p>
      <w:pPr/>
      <w:r>
        <w:rPr>
          <w:rFonts w:ascii="Helvetica" w:hAnsi="Helvetica" w:cs="Helvetica"/>
          <w:sz w:val="24"/>
          <w:sz-cs w:val="24"/>
          <w:spacing w:val="0"/>
          <w:color w:val="000000"/>
        </w:rPr>
        <w:t xml:space="preserve">* 6.3.3 BGI Genomics</w:t>
      </w:r>
    </w:p>
    <w:p>
      <w:pPr/>
      <w:r>
        <w:rPr>
          <w:rFonts w:ascii="Helvetica" w:hAnsi="Helvetica" w:cs="Helvetica"/>
          <w:sz w:val="24"/>
          <w:sz-cs w:val="24"/>
          <w:spacing w:val="0"/>
          <w:color w:val="000000"/>
        </w:rPr>
        <w:t xml:space="preserve">* 6.3.4 Burning Rock Biotech</w:t>
      </w:r>
    </w:p>
    <w:p>
      <w:pPr/>
      <w:r>
        <w:rPr>
          <w:rFonts w:ascii="Helvetica" w:hAnsi="Helvetica" w:cs="Helvetica"/>
          <w:sz w:val="24"/>
          <w:sz-cs w:val="24"/>
          <w:spacing w:val="0"/>
          <w:color w:val="000000"/>
        </w:rPr>
        <w:t xml:space="preserve">* 6.3.5 Caris Life Sciences</w:t>
      </w:r>
    </w:p>
    <w:p>
      <w:pPr/>
      <w:r>
        <w:rPr>
          <w:rFonts w:ascii="Helvetica" w:hAnsi="Helvetica" w:cs="Helvetica"/>
          <w:sz w:val="24"/>
          <w:sz-cs w:val="24"/>
          <w:spacing w:val="0"/>
          <w:color w:val="000000"/>
        </w:rPr>
        <w:t xml:space="preserve">* 6.3.6 Exact Sciences Corporation</w:t>
      </w:r>
    </w:p>
    <w:p>
      <w:pPr/>
      <w:r>
        <w:rPr>
          <w:rFonts w:ascii="Helvetica" w:hAnsi="Helvetica" w:cs="Helvetica"/>
          <w:sz w:val="24"/>
          <w:sz-cs w:val="24"/>
          <w:spacing w:val="0"/>
          <w:color w:val="000000"/>
        </w:rPr>
        <w:t xml:space="preserve">* 6.3.7 Foundation Medicine Inc.</w:t>
      </w:r>
    </w:p>
    <w:p>
      <w:pPr/>
      <w:r>
        <w:rPr>
          <w:rFonts w:ascii="Helvetica" w:hAnsi="Helvetica" w:cs="Helvetica"/>
          <w:sz w:val="24"/>
          <w:sz-cs w:val="24"/>
          <w:spacing w:val="0"/>
          <w:color w:val="000000"/>
        </w:rPr>
        <w:t xml:space="preserve">* 6.3.8 F. Hoffmann-La Roche AG</w:t>
      </w:r>
    </w:p>
    <w:p>
      <w:pPr/>
      <w:r>
        <w:rPr>
          <w:rFonts w:ascii="Helvetica" w:hAnsi="Helvetica" w:cs="Helvetica"/>
          <w:sz w:val="24"/>
          <w:sz-cs w:val="24"/>
          <w:spacing w:val="0"/>
          <w:color w:val="000000"/>
        </w:rPr>
        <w:t xml:space="preserve">* 6.3.9 GRAIL LLC</w:t>
      </w:r>
    </w:p>
    <w:p>
      <w:pPr/>
      <w:r>
        <w:rPr>
          <w:rFonts w:ascii="Helvetica" w:hAnsi="Helvetica" w:cs="Helvetica"/>
          <w:sz w:val="24"/>
          <w:sz-cs w:val="24"/>
          <w:spacing w:val="0"/>
          <w:color w:val="000000"/>
        </w:rPr>
        <w:t xml:space="preserve">* 6.3.10 Guardant Health Inc.</w:t>
      </w:r>
    </w:p>
    <w:p>
      <w:pPr/>
      <w:r>
        <w:rPr>
          <w:rFonts w:ascii="Helvetica" w:hAnsi="Helvetica" w:cs="Helvetica"/>
          <w:sz w:val="24"/>
          <w:sz-cs w:val="24"/>
          <w:spacing w:val="0"/>
          <w:color w:val="000000"/>
        </w:rPr>
        <w:t xml:space="preserve">* 6.3.11 Illumina Inc.</w:t>
      </w:r>
    </w:p>
    <w:p>
      <w:pPr/>
      <w:r>
        <w:rPr>
          <w:rFonts w:ascii="Helvetica" w:hAnsi="Helvetica" w:cs="Helvetica"/>
          <w:sz w:val="24"/>
          <w:sz-cs w:val="24"/>
          <w:spacing w:val="0"/>
          <w:color w:val="000000"/>
        </w:rPr>
        <w:t xml:space="preserve">* 6.3.12 Labcorp</w:t>
      </w:r>
    </w:p>
    <w:p>
      <w:pPr/>
      <w:r>
        <w:rPr>
          <w:rFonts w:ascii="Helvetica" w:hAnsi="Helvetica" w:cs="Helvetica"/>
          <w:sz w:val="24"/>
          <w:sz-cs w:val="24"/>
          <w:spacing w:val="0"/>
          <w:color w:val="000000"/>
        </w:rPr>
        <w:t xml:space="preserve">* 6.3.13 Myriad Genetics Inc.</w:t>
      </w:r>
    </w:p>
    <w:p>
      <w:pPr/>
      <w:r>
        <w:rPr>
          <w:rFonts w:ascii="Helvetica" w:hAnsi="Helvetica" w:cs="Helvetica"/>
          <w:sz w:val="24"/>
          <w:sz-cs w:val="24"/>
          <w:spacing w:val="0"/>
          <w:color w:val="000000"/>
        </w:rPr>
        <w:t xml:space="preserve">* 6.3.14 NanoString Technologies</w:t>
      </w:r>
    </w:p>
    <w:p>
      <w:pPr/>
      <w:r>
        <w:rPr>
          <w:rFonts w:ascii="Helvetica" w:hAnsi="Helvetica" w:cs="Helvetica"/>
          <w:sz w:val="24"/>
          <w:sz-cs w:val="24"/>
          <w:spacing w:val="0"/>
          <w:color w:val="000000"/>
        </w:rPr>
        <w:t xml:space="preserve">* 6.3.15 Natera Inc.</w:t>
      </w:r>
    </w:p>
    <w:p>
      <w:pPr/>
      <w:r>
        <w:rPr>
          <w:rFonts w:ascii="Helvetica" w:hAnsi="Helvetica" w:cs="Helvetica"/>
          <w:sz w:val="24"/>
          <w:sz-cs w:val="24"/>
          <w:spacing w:val="0"/>
          <w:color w:val="000000"/>
        </w:rPr>
        <w:t xml:space="preserve">* 6.3.16 NeoGenomics Laboratories</w:t>
      </w:r>
    </w:p>
    <w:p>
      <w:pPr/>
      <w:r>
        <w:rPr>
          <w:rFonts w:ascii="Helvetica" w:hAnsi="Helvetica" w:cs="Helvetica"/>
          <w:sz w:val="24"/>
          <w:sz-cs w:val="24"/>
          <w:spacing w:val="0"/>
          <w:color w:val="000000"/>
        </w:rPr>
        <w:t xml:space="preserve">* 6.3.17 Novartis AG</w:t>
      </w:r>
    </w:p>
    <w:p>
      <w:pPr/>
      <w:r>
        <w:rPr>
          <w:rFonts w:ascii="Helvetica" w:hAnsi="Helvetica" w:cs="Helvetica"/>
          <w:sz w:val="24"/>
          <w:sz-cs w:val="24"/>
          <w:spacing w:val="0"/>
          <w:color w:val="000000"/>
        </w:rPr>
        <w:t xml:space="preserve">* 6.3.18 Oxford Nanopore Technologies</w:t>
      </w:r>
    </w:p>
    <w:p>
      <w:pPr/>
      <w:r>
        <w:rPr>
          <w:rFonts w:ascii="Helvetica" w:hAnsi="Helvetica" w:cs="Helvetica"/>
          <w:sz w:val="24"/>
          <w:sz-cs w:val="24"/>
          <w:spacing w:val="0"/>
          <w:color w:val="000000"/>
        </w:rPr>
        <w:t xml:space="preserve">* 6.3.19 Personalis Inc.</w:t>
      </w:r>
    </w:p>
    <w:p>
      <w:pPr/>
      <w:r>
        <w:rPr>
          <w:rFonts w:ascii="Helvetica" w:hAnsi="Helvetica" w:cs="Helvetica"/>
          <w:sz w:val="24"/>
          <w:sz-cs w:val="24"/>
          <w:spacing w:val="0"/>
          <w:color w:val="000000"/>
        </w:rPr>
        <w:t xml:space="preserve">* 6.3.20 QIAGEN NV</w:t>
      </w:r>
    </w:p>
    <w:p>
      <w:pPr/>
      <w:r>
        <w:rPr>
          <w:rFonts w:ascii="Helvetica" w:hAnsi="Helvetica" w:cs="Helvetica"/>
          <w:sz w:val="24"/>
          <w:sz-cs w:val="24"/>
          <w:spacing w:val="0"/>
          <w:color w:val="000000"/>
        </w:rPr>
        <w:t xml:space="preserve">* 6.3.21 Sophia Genetics</w:t>
      </w:r>
    </w:p>
    <w:p>
      <w:pPr/>
      <w:r>
        <w:rPr>
          <w:rFonts w:ascii="Helvetica" w:hAnsi="Helvetica" w:cs="Helvetica"/>
          <w:sz w:val="24"/>
          <w:sz-cs w:val="24"/>
          <w:spacing w:val="0"/>
          <w:color w:val="000000"/>
        </w:rPr>
        <w:t xml:space="preserve">* 6.3.22 Strata Oncology Inc.</w:t>
      </w:r>
    </w:p>
    <w:p>
      <w:pPr/>
      <w:r>
        <w:rPr>
          <w:rFonts w:ascii="Helvetica" w:hAnsi="Helvetica" w:cs="Helvetica"/>
          <w:sz w:val="24"/>
          <w:sz-cs w:val="24"/>
          <w:spacing w:val="0"/>
          <w:color w:val="000000"/>
        </w:rPr>
        <w:t xml:space="preserve">* 6.3.23 Tempus Labs Inc.</w:t>
      </w:r>
    </w:p>
    <w:p>
      <w:pPr/>
      <w:r>
        <w:rPr>
          <w:rFonts w:ascii="Helvetica" w:hAnsi="Helvetica" w:cs="Helvetica"/>
          <w:sz w:val="24"/>
          <w:sz-cs w:val="24"/>
          <w:spacing w:val="0"/>
          <w:color w:val="000000"/>
        </w:rPr>
        <w:t xml:space="preserve">* 6.3.24 Thermo Fisher Scientific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Precision Oncology Market Report ScopeAs per the scope of the report, precision oncology involves profiling tumors at the molecular level to pinpoint alterations that can be targeted. It is the practice of tailoring treatment plans based on a patient's genetic structure and the specific molecular traits of their cancer.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precision oncology market is segmented by type, cancer type, end user, and geography. By type, the market is segmented into therapeutics and diagnostics. By cancer type, the market is segmented into breast cancer, lung cancer, colorectal cancer, prostate cancer, and other types of cancer. By end user, the market is segmented into hospitals, diagnostic laboratories, pharmaceutical &amp; biotechnology companies, and research &amp; academic institutes. By Geography, the market is segmented into North America, Europe, Asia-Pacific, Middle East and Africa, and South America). The report offers the value (in USD) for the above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TypeTherapeutics | </w:t>
      </w:r>
    </w:p>
    <w:p>
      <w:pPr/>
      <w:r>
        <w:rPr>
          <w:rFonts w:ascii="Helvetica" w:hAnsi="Helvetica" w:cs="Helvetica"/>
          <w:sz w:val="24"/>
          <w:sz-cs w:val="24"/>
          <w:spacing w:val="0"/>
          <w:color w:val="000000"/>
        </w:rPr>
        <w:t xml:space="preserve">Diagnostics | </w:t>
      </w:r>
    </w:p>
    <w:p>
      <w:pPr/>
      <w:r>
        <w:rPr>
          <w:rFonts w:ascii="Helvetica" w:hAnsi="Helvetica" w:cs="Helvetica"/>
          <w:sz w:val="24"/>
          <w:sz-cs w:val="24"/>
          <w:spacing w:val="0"/>
          <w:color w:val="000000"/>
        </w:rPr>
        <w:t xml:space="preserve">By TechnologyNext-Generation Sequencing (NGS) | </w:t>
      </w:r>
    </w:p>
    <w:p>
      <w:pPr/>
      <w:r>
        <w:rPr>
          <w:rFonts w:ascii="Helvetica" w:hAnsi="Helvetica" w:cs="Helvetica"/>
          <w:sz w:val="24"/>
          <w:sz-cs w:val="24"/>
          <w:spacing w:val="0"/>
          <w:color w:val="000000"/>
        </w:rPr>
        <w:t xml:space="preserve">Polymerase Chain Reaction (PCR) | </w:t>
      </w:r>
    </w:p>
    <w:p>
      <w:pPr/>
      <w:r>
        <w:rPr>
          <w:rFonts w:ascii="Helvetica" w:hAnsi="Helvetica" w:cs="Helvetica"/>
          <w:sz w:val="24"/>
          <w:sz-cs w:val="24"/>
          <w:spacing w:val="0"/>
          <w:color w:val="000000"/>
        </w:rPr>
        <w:t xml:space="preserve">Fluorescence In-Situ Hybridisation (FISH) | </w:t>
      </w:r>
    </w:p>
    <w:p>
      <w:pPr/>
      <w:r>
        <w:rPr>
          <w:rFonts w:ascii="Helvetica" w:hAnsi="Helvetica" w:cs="Helvetica"/>
          <w:sz w:val="24"/>
          <w:sz-cs w:val="24"/>
          <w:spacing w:val="0"/>
          <w:color w:val="000000"/>
        </w:rPr>
        <w:t xml:space="preserve">Microarray | </w:t>
      </w:r>
    </w:p>
    <w:p>
      <w:pPr/>
      <w:r>
        <w:rPr>
          <w:rFonts w:ascii="Helvetica" w:hAnsi="Helvetica" w:cs="Helvetica"/>
          <w:sz w:val="24"/>
          <w:sz-cs w:val="24"/>
          <w:spacing w:val="0"/>
          <w:color w:val="000000"/>
        </w:rPr>
        <w:t xml:space="preserve">Other Technologies | </w:t>
      </w:r>
    </w:p>
    <w:p>
      <w:pPr/>
      <w:r>
        <w:rPr>
          <w:rFonts w:ascii="Helvetica" w:hAnsi="Helvetica" w:cs="Helvetica"/>
          <w:sz w:val="24"/>
          <w:sz-cs w:val="24"/>
          <w:spacing w:val="0"/>
          <w:color w:val="000000"/>
        </w:rPr>
        <w:t xml:space="preserve">By Biomarker TypeGenomic Biomarkers | </w:t>
      </w:r>
    </w:p>
    <w:p>
      <w:pPr/>
      <w:r>
        <w:rPr>
          <w:rFonts w:ascii="Helvetica" w:hAnsi="Helvetica" w:cs="Helvetica"/>
          <w:sz w:val="24"/>
          <w:sz-cs w:val="24"/>
          <w:spacing w:val="0"/>
          <w:color w:val="000000"/>
        </w:rPr>
        <w:t xml:space="preserve">Proteomic Biomarkers | </w:t>
      </w:r>
    </w:p>
    <w:p>
      <w:pPr/>
      <w:r>
        <w:rPr>
          <w:rFonts w:ascii="Helvetica" w:hAnsi="Helvetica" w:cs="Helvetica"/>
          <w:sz w:val="24"/>
          <w:sz-cs w:val="24"/>
          <w:spacing w:val="0"/>
          <w:color w:val="000000"/>
        </w:rPr>
        <w:t xml:space="preserve">Epigenomic Biomarkers | </w:t>
      </w:r>
    </w:p>
    <w:p>
      <w:pPr/>
      <w:r>
        <w:rPr>
          <w:rFonts w:ascii="Helvetica" w:hAnsi="Helvetica" w:cs="Helvetica"/>
          <w:sz w:val="24"/>
          <w:sz-cs w:val="24"/>
          <w:spacing w:val="0"/>
          <w:color w:val="000000"/>
        </w:rPr>
        <w:t xml:space="preserve">Transcriptomic Biomarkers | </w:t>
      </w:r>
    </w:p>
    <w:p>
      <w:pPr/>
      <w:r>
        <w:rPr>
          <w:rFonts w:ascii="Helvetica" w:hAnsi="Helvetica" w:cs="Helvetica"/>
          <w:sz w:val="24"/>
          <w:sz-cs w:val="24"/>
          <w:spacing w:val="0"/>
          <w:color w:val="000000"/>
        </w:rPr>
        <w:t xml:space="preserve">Metabolomic Biomarkers | </w:t>
      </w:r>
    </w:p>
    <w:p>
      <w:pPr/>
      <w:r>
        <w:rPr>
          <w:rFonts w:ascii="Helvetica" w:hAnsi="Helvetica" w:cs="Helvetica"/>
          <w:sz w:val="24"/>
          <w:sz-cs w:val="24"/>
          <w:spacing w:val="0"/>
          <w:color w:val="000000"/>
        </w:rPr>
        <w:t xml:space="preserve">By Cancer TypeBreast Cancer | </w:t>
      </w:r>
    </w:p>
    <w:p>
      <w:pPr/>
      <w:r>
        <w:rPr>
          <w:rFonts w:ascii="Helvetica" w:hAnsi="Helvetica" w:cs="Helvetica"/>
          <w:sz w:val="24"/>
          <w:sz-cs w:val="24"/>
          <w:spacing w:val="0"/>
          <w:color w:val="000000"/>
        </w:rPr>
        <w:t xml:space="preserve">Lung Cancer | </w:t>
      </w:r>
    </w:p>
    <w:p>
      <w:pPr/>
      <w:r>
        <w:rPr>
          <w:rFonts w:ascii="Helvetica" w:hAnsi="Helvetica" w:cs="Helvetica"/>
          <w:sz w:val="24"/>
          <w:sz-cs w:val="24"/>
          <w:spacing w:val="0"/>
          <w:color w:val="000000"/>
        </w:rPr>
        <w:t xml:space="preserve">Colorectal Cancer | </w:t>
      </w:r>
    </w:p>
    <w:p>
      <w:pPr/>
      <w:r>
        <w:rPr>
          <w:rFonts w:ascii="Helvetica" w:hAnsi="Helvetica" w:cs="Helvetica"/>
          <w:sz w:val="24"/>
          <w:sz-cs w:val="24"/>
          <w:spacing w:val="0"/>
          <w:color w:val="000000"/>
        </w:rPr>
        <w:t xml:space="preserve">Prostate Cancer | </w:t>
      </w:r>
    </w:p>
    <w:p>
      <w:pPr/>
      <w:r>
        <w:rPr>
          <w:rFonts w:ascii="Helvetica" w:hAnsi="Helvetica" w:cs="Helvetica"/>
          <w:sz w:val="24"/>
          <w:sz-cs w:val="24"/>
          <w:spacing w:val="0"/>
          <w:color w:val="000000"/>
        </w:rPr>
        <w:t xml:space="preserve">Other Cancers | </w:t>
      </w:r>
    </w:p>
    <w:p>
      <w:pPr/>
      <w:r>
        <w:rPr>
          <w:rFonts w:ascii="Helvetica" w:hAnsi="Helvetica" w:cs="Helvetica"/>
          <w:sz w:val="24"/>
          <w:sz-cs w:val="24"/>
          <w:spacing w:val="0"/>
          <w:color w:val="000000"/>
        </w:rPr>
        <w:t xml:space="preserve">By End-UserHospitals &amp; Cancer Centres | </w:t>
      </w:r>
    </w:p>
    <w:p>
      <w:pPr/>
      <w:r>
        <w:rPr>
          <w:rFonts w:ascii="Helvetica" w:hAnsi="Helvetica" w:cs="Helvetica"/>
          <w:sz w:val="24"/>
          <w:sz-cs w:val="24"/>
          <w:spacing w:val="0"/>
          <w:color w:val="000000"/>
        </w:rPr>
        <w:t xml:space="preserve">Diagnostic Laboratories | </w:t>
      </w:r>
    </w:p>
    <w:p>
      <w:pPr/>
      <w:r>
        <w:rPr>
          <w:rFonts w:ascii="Helvetica" w:hAnsi="Helvetica" w:cs="Helvetica"/>
          <w:sz w:val="24"/>
          <w:sz-cs w:val="24"/>
          <w:spacing w:val="0"/>
          <w:color w:val="000000"/>
        </w:rPr>
        <w:t xml:space="preserve">Pharma &amp; Biotech Firms | </w:t>
      </w:r>
    </w:p>
    <w:p>
      <w:pPr/>
      <w:r>
        <w:rPr>
          <w:rFonts w:ascii="Helvetica" w:hAnsi="Helvetica" w:cs="Helvetica"/>
          <w:sz w:val="24"/>
          <w:sz-cs w:val="24"/>
          <w:spacing w:val="0"/>
          <w:color w:val="000000"/>
        </w:rPr>
        <w:t xml:space="preserve">Research &amp; Academic Institutes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&amp;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&amp;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Type | Therapeutics | </w:t>
      </w:r>
    </w:p>
    <w:p>
      <w:pPr/>
      <w:r>
        <w:rPr>
          <w:rFonts w:ascii="Helvetica" w:hAnsi="Helvetica" w:cs="Helvetica"/>
          <w:sz w:val="24"/>
          <w:sz-cs w:val="24"/>
          <w:spacing w:val="0"/>
          <w:color w:val="000000"/>
        </w:rPr>
        <w:t xml:space="preserve"> | Diagnostics | </w:t>
      </w:r>
    </w:p>
    <w:p>
      <w:pPr/>
      <w:r>
        <w:rPr>
          <w:rFonts w:ascii="Helvetica" w:hAnsi="Helvetica" w:cs="Helvetica"/>
          <w:sz w:val="24"/>
          <w:sz-cs w:val="24"/>
          <w:spacing w:val="0"/>
          <w:color w:val="000000"/>
        </w:rPr>
        <w:t xml:space="preserve">By Technology | Next-Generation Sequencing (NGS) | </w:t>
      </w:r>
    </w:p>
    <w:p>
      <w:pPr/>
      <w:r>
        <w:rPr>
          <w:rFonts w:ascii="Helvetica" w:hAnsi="Helvetica" w:cs="Helvetica"/>
          <w:sz w:val="24"/>
          <w:sz-cs w:val="24"/>
          <w:spacing w:val="0"/>
          <w:color w:val="000000"/>
        </w:rPr>
        <w:t xml:space="preserve"> | Polymerase Chain Reaction (PCR) | </w:t>
      </w:r>
    </w:p>
    <w:p>
      <w:pPr/>
      <w:r>
        <w:rPr>
          <w:rFonts w:ascii="Helvetica" w:hAnsi="Helvetica" w:cs="Helvetica"/>
          <w:sz w:val="24"/>
          <w:sz-cs w:val="24"/>
          <w:spacing w:val="0"/>
          <w:color w:val="000000"/>
        </w:rPr>
        <w:t xml:space="preserve"> | Fluorescence In-Situ Hybridisation (FISH) | </w:t>
      </w:r>
    </w:p>
    <w:p>
      <w:pPr/>
      <w:r>
        <w:rPr>
          <w:rFonts w:ascii="Helvetica" w:hAnsi="Helvetica" w:cs="Helvetica"/>
          <w:sz w:val="24"/>
          <w:sz-cs w:val="24"/>
          <w:spacing w:val="0"/>
          <w:color w:val="000000"/>
        </w:rPr>
        <w:t xml:space="preserve"> | Microarray | </w:t>
      </w:r>
    </w:p>
    <w:p>
      <w:pPr/>
      <w:r>
        <w:rPr>
          <w:rFonts w:ascii="Helvetica" w:hAnsi="Helvetica" w:cs="Helvetica"/>
          <w:sz w:val="24"/>
          <w:sz-cs w:val="24"/>
          <w:spacing w:val="0"/>
          <w:color w:val="000000"/>
        </w:rPr>
        <w:t xml:space="preserve"> | Other Technologies | </w:t>
      </w:r>
    </w:p>
    <w:p>
      <w:pPr/>
      <w:r>
        <w:rPr>
          <w:rFonts w:ascii="Helvetica" w:hAnsi="Helvetica" w:cs="Helvetica"/>
          <w:sz w:val="24"/>
          <w:sz-cs w:val="24"/>
          <w:spacing w:val="0"/>
          <w:color w:val="000000"/>
        </w:rPr>
        <w:t xml:space="preserve">By Biomarker Type | Genomic Biomarkers | </w:t>
      </w:r>
    </w:p>
    <w:p>
      <w:pPr/>
      <w:r>
        <w:rPr>
          <w:rFonts w:ascii="Helvetica" w:hAnsi="Helvetica" w:cs="Helvetica"/>
          <w:sz w:val="24"/>
          <w:sz-cs w:val="24"/>
          <w:spacing w:val="0"/>
          <w:color w:val="000000"/>
        </w:rPr>
        <w:t xml:space="preserve"> | Proteomic Biomarkers | </w:t>
      </w:r>
    </w:p>
    <w:p>
      <w:pPr/>
      <w:r>
        <w:rPr>
          <w:rFonts w:ascii="Helvetica" w:hAnsi="Helvetica" w:cs="Helvetica"/>
          <w:sz w:val="24"/>
          <w:sz-cs w:val="24"/>
          <w:spacing w:val="0"/>
          <w:color w:val="000000"/>
        </w:rPr>
        <w:t xml:space="preserve"> | Epigenomic Biomarkers | </w:t>
      </w:r>
    </w:p>
    <w:p>
      <w:pPr/>
      <w:r>
        <w:rPr>
          <w:rFonts w:ascii="Helvetica" w:hAnsi="Helvetica" w:cs="Helvetica"/>
          <w:sz w:val="24"/>
          <w:sz-cs w:val="24"/>
          <w:spacing w:val="0"/>
          <w:color w:val="000000"/>
        </w:rPr>
        <w:t xml:space="preserve"> | Transcriptomic Biomarkers | </w:t>
      </w:r>
    </w:p>
    <w:p>
      <w:pPr/>
      <w:r>
        <w:rPr>
          <w:rFonts w:ascii="Helvetica" w:hAnsi="Helvetica" w:cs="Helvetica"/>
          <w:sz w:val="24"/>
          <w:sz-cs w:val="24"/>
          <w:spacing w:val="0"/>
          <w:color w:val="000000"/>
        </w:rPr>
        <w:t xml:space="preserve"> | Metabolomic Biomarkers | </w:t>
      </w:r>
    </w:p>
    <w:p>
      <w:pPr/>
      <w:r>
        <w:rPr>
          <w:rFonts w:ascii="Helvetica" w:hAnsi="Helvetica" w:cs="Helvetica"/>
          <w:sz w:val="24"/>
          <w:sz-cs w:val="24"/>
          <w:spacing w:val="0"/>
          <w:color w:val="000000"/>
        </w:rPr>
        <w:t xml:space="preserve">By Cancer Type | Breast Cancer | </w:t>
      </w:r>
    </w:p>
    <w:p>
      <w:pPr/>
      <w:r>
        <w:rPr>
          <w:rFonts w:ascii="Helvetica" w:hAnsi="Helvetica" w:cs="Helvetica"/>
          <w:sz w:val="24"/>
          <w:sz-cs w:val="24"/>
          <w:spacing w:val="0"/>
          <w:color w:val="000000"/>
        </w:rPr>
        <w:t xml:space="preserve"> | Lung Cancer | </w:t>
      </w:r>
    </w:p>
    <w:p>
      <w:pPr/>
      <w:r>
        <w:rPr>
          <w:rFonts w:ascii="Helvetica" w:hAnsi="Helvetica" w:cs="Helvetica"/>
          <w:sz w:val="24"/>
          <w:sz-cs w:val="24"/>
          <w:spacing w:val="0"/>
          <w:color w:val="000000"/>
        </w:rPr>
        <w:t xml:space="preserve"> | Colorectal Cancer | </w:t>
      </w:r>
    </w:p>
    <w:p>
      <w:pPr/>
      <w:r>
        <w:rPr>
          <w:rFonts w:ascii="Helvetica" w:hAnsi="Helvetica" w:cs="Helvetica"/>
          <w:sz w:val="24"/>
          <w:sz-cs w:val="24"/>
          <w:spacing w:val="0"/>
          <w:color w:val="000000"/>
        </w:rPr>
        <w:t xml:space="preserve"> | Prostate Cancer | </w:t>
      </w:r>
    </w:p>
    <w:p>
      <w:pPr/>
      <w:r>
        <w:rPr>
          <w:rFonts w:ascii="Helvetica" w:hAnsi="Helvetica" w:cs="Helvetica"/>
          <w:sz w:val="24"/>
          <w:sz-cs w:val="24"/>
          <w:spacing w:val="0"/>
          <w:color w:val="000000"/>
        </w:rPr>
        <w:t xml:space="preserve"> | Other Cancers | </w:t>
      </w:r>
    </w:p>
    <w:p>
      <w:pPr/>
      <w:r>
        <w:rPr>
          <w:rFonts w:ascii="Helvetica" w:hAnsi="Helvetica" w:cs="Helvetica"/>
          <w:sz w:val="24"/>
          <w:sz-cs w:val="24"/>
          <w:spacing w:val="0"/>
          <w:color w:val="000000"/>
        </w:rPr>
        <w:t xml:space="preserve">By End-User | Hospitals &amp; Cancer Centres | </w:t>
      </w:r>
    </w:p>
    <w:p>
      <w:pPr/>
      <w:r>
        <w:rPr>
          <w:rFonts w:ascii="Helvetica" w:hAnsi="Helvetica" w:cs="Helvetica"/>
          <w:sz w:val="24"/>
          <w:sz-cs w:val="24"/>
          <w:spacing w:val="0"/>
          <w:color w:val="000000"/>
        </w:rPr>
        <w:t xml:space="preserve"> | Diagnostic Laboratories | </w:t>
      </w:r>
    </w:p>
    <w:p>
      <w:pPr/>
      <w:r>
        <w:rPr>
          <w:rFonts w:ascii="Helvetica" w:hAnsi="Helvetica" w:cs="Helvetica"/>
          <w:sz w:val="24"/>
          <w:sz-cs w:val="24"/>
          <w:spacing w:val="0"/>
          <w:color w:val="000000"/>
        </w:rPr>
        <w:t xml:space="preserve"> | Pharma &amp; Biotech Firms | </w:t>
      </w:r>
    </w:p>
    <w:p>
      <w:pPr/>
      <w:r>
        <w:rPr>
          <w:rFonts w:ascii="Helvetica" w:hAnsi="Helvetica" w:cs="Helvetica"/>
          <w:sz w:val="24"/>
          <w:sz-cs w:val="24"/>
          <w:spacing w:val="0"/>
          <w:color w:val="000000"/>
        </w:rPr>
        <w:t xml:space="preserve"> | Research &amp; Academic Institutes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&amp;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&amp;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ReportWhat is the current size and growth outlook of the precision oncology market? The precision oncology market size is estimated at USD 127.68 billion in 2026 and is projected to reach USD 201.27 billion by 2031, growing at a 9.53%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is expanding the fastest within precision oncology? Diagnostics, propelled by liquid-biopsy monitoring, is forecast to post a 10.06% CAGR from 2026 to 2031, outpacing therapeutics.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Asia-Pacific expected to grow faster than North America? Chinaâ€™s rapid companion-diagnostic approvals and expanded reimbursement in multiple provinces, along with Japanâ€™s higher payment rates, drive a 13.27% regional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technologies will shape the next wave of precision oncology innovation? Spatially resolved FISH, single-cell multi-omics, and AI-accelerated sequencing analytics are poised to deepen tumor characterization and broaden clinical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challenges could hinder the growth of precision oncology? High therapy costs, uneven regulatory pathways, and genomic database ethnic imbalance could collectively shave close to 3% off forecast CAGR if unresolved.</w:t>
      </w:r>
    </w:p>
    <w:p>
      <w:pPr/>
      <w:r>
        <w:rPr>
          <w:rFonts w:ascii="Helvetica" w:hAnsi="Helvetica" w:cs="Helvetica"/>
          <w:sz w:val="24"/>
          <w:sz-cs w:val="24"/>
          <w:spacing w:val="0"/>
          <w:color w:val="000000"/>
        </w:rPr>
        <w:t xml:space="preserve">Related Reports Explore More ReportsAsia-Pacific Kidney Cancer Therapeutics &amp; Diagnostics Market ForecastsBladder Cancer Therapeutics And Diagnostics Market ResearchBone Marrow Aspirate Concentrates Market ShareGrowth Forecasts for Nuclear Medicine Therapeutics MarketMarket Report on RadiotherapyKidney Cancer Therapeutics and Diagnostics Market ReportMarket Outlook for Medical BiomimeticsNorth America Bladder Cancer Therapeutics and Diagnostics Market ResearchNorth America Kidney Cancer Therapeutics &amp; Diagnostics Market ShareSkin Cancer Therapeutics Market Forecasts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