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China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[https://www.mordorintelligence.com/industry-reports/retail-industry-in-china](https://www.mordorintelligence.com/industry-reports/retail-industry-in-china)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2.27 trillion |</w:t>
      </w:r>
    </w:p>
    <w:p>
      <w:pPr/>
      <w:r>
        <w:rPr>
          <w:rFonts w:ascii="Helvetica Light" w:hAnsi="Helvetica Light" w:cs="Helvetica Light"/>
          <w:sz w:val="24"/>
          <w:sz-cs w:val="24"/>
        </w:rPr>
        <w:t xml:space="preserve">| **Projected Forecast (2031)** | USD 2.27 trillion |</w:t>
      </w:r>
    </w:p>
    <w:p>
      <w:pPr/>
      <w:r>
        <w:rPr>
          <w:rFonts w:ascii="Helvetica Light" w:hAnsi="Helvetica Light" w:cs="Helvetica Light"/>
          <w:sz w:val="24"/>
          <w:sz-cs w:val="24"/>
        </w:rPr>
        <w:t xml:space="preserve">| **Growth Rate (CAGR)** | 8.06 %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China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Retail Sector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Retail Market: Market Share by Product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Retail Market: Market Share by City Tier](images/chart_5.png)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Retail Sector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2.10 Trillion | </w:t>
      </w:r>
    </w:p>
    <w:p>
      <w:pPr/>
      <w:r>
        <w:rPr>
          <w:rFonts w:ascii="Helvetica Light" w:hAnsi="Helvetica Light" w:cs="Helvetica Light"/>
          <w:sz w:val="24"/>
          <w:sz-cs w:val="24"/>
        </w:rPr>
        <w:t xml:space="preserve">Market Size (2026) | USD 2.27 Trillion | </w:t>
      </w:r>
    </w:p>
    <w:p>
      <w:pPr/>
      <w:r>
        <w:rPr>
          <w:rFonts w:ascii="Helvetica Light" w:hAnsi="Helvetica Light" w:cs="Helvetica Light"/>
          <w:sz w:val="24"/>
          <w:sz-cs w:val="24"/>
        </w:rPr>
        <w:t xml:space="preserve">Market Size (2031) | USD 3.34 Trillion | </w:t>
      </w:r>
    </w:p>
    <w:p>
      <w:pPr/>
      <w:r>
        <w:rPr>
          <w:rFonts w:ascii="Helvetica Light" w:hAnsi="Helvetica Light" w:cs="Helvetica Light"/>
          <w:sz w:val="24"/>
          <w:sz-cs w:val="24"/>
        </w:rPr>
        <w:t xml:space="preserve">Growth Rate (2026 - 2031) | 8.06 %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Retail Market Analysis by Mordor IntelligenceThe China retail market size is expected to grow from USD 2.1 trillion in 2025 to USD 2.27 trillion in 2026 and is forecast to reach USD 3.34 trillion by 2031 at 8.06% CAGR over 2026-2031. Momentum reflects the combined effects of omnichannel investments, policy support that boosts consumption, and format innovation that widens choice for value and premium shoppers. The digital yuan has scaled into daily life and is shaping the checkout layer of payments, which is strengthening the quality of retail data and speeding settlement. Social commerce and livestreaming have deepened reach in lower-tier cities, while membership clubs have lifted household basket sizes as consumers trade up on bulk and imported goods. Competitive intensity remains high as price-led plays squeeze margins and raise the bar on unit economics, yet structural upgrades in logistics and data tooling keep long-run growth intact for the China retail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demand signals are visible in payments, channels, and policy. The digital yuan recorded 3.48 billion cumulative transactions totalling CNY 16.7 trillion (USD 2.37 trillion) as of late 2025, a scale that has catalysed merchant acceptance and lowered per-transaction costs[1]Source: State Council Information Office Staff, “Digital Yuan Accumulated 3.48 Billion Transactions by November 2025,” Gov.cn, english.www.gov.cn. Livestreaming commerce reached USD 807 billion in 2024 with a user base of 833 million, and platforms are prioritizing engagement quality in lower-tier markets where the next wave of growth resides. Warehouse clubs surpassed CNY 300 billion (USD 42.6 billion) in annual sales, and Sam’s Club recorded CNY 120 billion GMV in 2025 (USD 17.0 billion), which has validated the premium bulk model for urban families. A national consumer-goods trade-in program delivered CNY 2.6 trillion in sales in 2025 (USD 368.8 billion), and fiscal allocations for 2026 have been guided higher, which keeps appliances and related categories on a firm trajectory in the China retail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&amp; beverages led with 30.72% revenue share in 2025; consumer electronics &amp; appliances is projected to expand at a 9.23% CAGR to 2031 in the China retail market. </w:t>
      </w:r>
    </w:p>
    <w:p>
      <w:pPr/>
      <w:r>
        <w:rPr>
          <w:rFonts w:ascii="Helvetica Light" w:hAnsi="Helvetica Light" w:cs="Helvetica Light"/>
          <w:sz w:val="24"/>
          <w:sz-cs w:val="24"/>
        </w:rPr>
        <w:t xml:space="preserve">* By distribution channel, e-commerce platforms held a 34.15% share of the China retail market size in 2025, while discount &amp; membership-club stores are forecast to grow at 13.35% CAGR through 2031. </w:t>
      </w:r>
    </w:p>
    <w:p>
      <w:pPr/>
      <w:r>
        <w:rPr>
          <w:rFonts w:ascii="Helvetica Light" w:hAnsi="Helvetica Light" w:cs="Helvetica Light"/>
          <w:sz w:val="24"/>
          <w:sz-cs w:val="24"/>
        </w:rPr>
        <w:t xml:space="preserve">* By city tier, Tier 2 cities accounted for 35.62% of China retail market share in 2025; Tier 3 cities are advancing at an 10.88% CAGR between 2026 and 2031. </w:t>
      </w:r>
    </w:p>
    <w:p>
      <w:pPr/>
      <w:r>
        <w:rPr>
          <w:rFonts w:ascii="Helvetica Light" w:hAnsi="Helvetica Light" w:cs="Helvetica Light"/>
          <w:sz w:val="24"/>
          <w:sz-cs w:val="24"/>
        </w:rPr>
        <w:t xml:space="preserve">* By store format size, small-format outlets captured 81.35% of China retail market share in 2025; warehouse clubs are poised to rise at 13.92% CAGR over the forecast period.</w:t>
      </w:r>
    </w:p>
    <w:p>
      <w:pPr/>
      <w:r>
        <w:rPr>
          <w:rFonts w:ascii="Helvetica Light" w:hAnsi="Helvetica Light" w:cs="Helvetica Light"/>
          <w:sz w:val="24"/>
          <w:sz-cs w:val="24"/>
        </w:rPr>
        <w:t xml:space="preserve">* By geography, East China contributed 31.28% in the China retail market in 2025, and Southwest China is projected to post the fastest regional expansion at a 4.98% CAGR through 2031.</w:t>
      </w:r>
    </w:p>
    <w:p>
      <w:pPr/>
      <w:r>
        <w:rPr>
          <w:rFonts w:ascii="Helvetica Light" w:hAnsi="Helvetica Light" w:cs="Helvetica Light"/>
          <w:sz w:val="24"/>
          <w:sz-cs w:val="24"/>
        </w:rPr>
        <w:t xml:space="preserve">* Alibaba, JD.com, Sun Art, Walmart and Yonghui jointly controlled more than half of sector revenue in 2025, underscoring scale advantages in logistics and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Lower-tier cities rapidly embrace social and live-stream commerce | +1.8% | Tier 3–5 cities, concentrated in central and western provinces | Medium term (2-4 years) | </w:t>
      </w:r>
    </w:p>
    <w:p>
      <w:pPr/>
      <w:r>
        <w:rPr>
          <w:rFonts w:ascii="Helvetica Light" w:hAnsi="Helvetica Light" w:cs="Helvetica Light"/>
          <w:sz w:val="24"/>
          <w:sz-cs w:val="24"/>
        </w:rPr>
        <w:t xml:space="preserve">Membership-based warehouse clubs are boosting the average basket size | +1.2% | Tier 1–2 cities, expanding into Tier 2 provincial capitals | Long term (≥ 4 years) | </w:t>
      </w:r>
    </w:p>
    <w:p>
      <w:pPr/>
      <w:r>
        <w:rPr>
          <w:rFonts w:ascii="Helvetica Light" w:hAnsi="Helvetica Light" w:cs="Helvetica Light"/>
          <w:sz w:val="24"/>
          <w:sz-cs w:val="24"/>
        </w:rPr>
        <w:t xml:space="preserve">Demand from the silver economy is propelling premium health and wellness categories | +1.0% | National, with early gains in East China and major urban centers | Long term (≥ 4 years) | </w:t>
      </w:r>
    </w:p>
    <w:p>
      <w:pPr/>
      <w:r>
        <w:rPr>
          <w:rFonts w:ascii="Helvetica Light" w:hAnsi="Helvetica Light" w:cs="Helvetica Light"/>
          <w:sz w:val="24"/>
          <w:sz-cs w:val="24"/>
        </w:rPr>
        <w:t xml:space="preserve">'Smart Retail' initiatives and digital-yuan trials drive omnichannel growth | +0.9% | National rollout, pilot cities include Shenzhen, Suzhou, Xiong’an, Chengdu | Short term (≤ 2 years) | </w:t>
      </w:r>
    </w:p>
    <w:p>
      <w:pPr/>
      <w:r>
        <w:rPr>
          <w:rFonts w:ascii="Helvetica Light" w:hAnsi="Helvetica Light" w:cs="Helvetica Light"/>
          <w:sz w:val="24"/>
          <w:sz-cs w:val="24"/>
        </w:rPr>
        <w:t xml:space="preserve">Autonomous stores and group-buy models see rising adoption | +0.7% | Urban centers nationwide, especially Beijing, Shanghai, Guangzhou | Medium term (2-4 years) | </w:t>
      </w:r>
    </w:p>
    <w:p>
      <w:pPr/>
      <w:r>
        <w:rPr>
          <w:rFonts w:ascii="Helvetica Light" w:hAnsi="Helvetica Light" w:cs="Helvetica Light"/>
          <w:sz w:val="24"/>
          <w:sz-cs w:val="24"/>
        </w:rPr>
        <w:t xml:space="preserve">Tourism policies revive experiential retail | +0.6% | Hainan Province and major tourist cities, including Beijing, Shanghai, and Guangzhou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China retail market remains fragmented even as large platforms and national chains extend their reach through apps and new formats. Company shares remain distributed across a long tail of regional and category specialists, which keeps store-level competition intense. E-commerce led growth in digital channels in 2025, while membership clubs expanded in top cities and moved into more Tier 2 locations. The latest segmentation estimates reinforce this fragmentation and show that national concentration has not spiked despite merger and rollout activity. That structure influences strategy, as many players favor targeted format expansion over broad attempts to win in every category.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Scale players are using capital and data to build durable advantages in logistics, private label, and loyalty economics. Sam’s Club opened 10 stores in 2025, delivered GMV above USD 17.0 billion (CNY 120 billion), and plans more than 10 openings in 2026, which deepens its coverage in the country’s most attractive trade areas. Costco operated seven warehouses in China by late 2025, and a plan for 35 global openings in fiscal 2026 includes a meaningful China allocation, which demonstrates conviction in the bulk retail proposition. On the foodservice side, Restaurant Brands International and CPE Capital formed a joint venture to accelerate Burger King China, with funding earmarked for store expansion over the next decade. These moves highlight how capability-led expansion in real estate and supply chains can outlast short-term subsidy cycles in the China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Price competition among platforms sharpened in mid-2025 and imposed heavy subsidy costs that weighed on profitability and cash flow. Meituan and Alibaba both reported margin compression linked to higher subsidies and sales expenses, which forced recalibration of growth-at-any-cost tactics. Regulators issued guidance in 2025 to curb irrational discounting, which aims to improve market order and reduce wasteful spending over the near term. Autonomous retail and vending are scaling as operators seek labor-light ways to expand reach, and the unmanned retail segment is expected to exceed USD 7.0 billion. Retailers are also investing in data and cybersecurity management to comply with updated rules that took effect at the start of 2026, which tightens marketing and data-handling practices. These conditions reinforce the need for resilient gross margins, diversified channels, and disciplined capital allocation across the China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Retail Industry Leaders* Alibaba Group Holding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Walmart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JD.com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Sun Art Retail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Yonghui Superstores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Retail Market Report ScopeRetail is the sale of goods and services to consumers, in contrast to wholesaling, which is a sale to business or institutional customers. The report on the China retail industry provides a comprehensive evaluation of the market, with an analysis of the segments in the market. Moreover, the report provides drivers, restraints, and the competitive profile of the key players.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China retail market is segmented by products and distribution channels. By products, the market is sub-segmented into food and beverages, personal and household care, apparel, footwear and accessories, furniture, toys and hobbies, electronic and household appliances, and other products. By distribution channels, the market is sub-segmented into supermarkets/hypermarkets, convenience stores, department stores, specialty stores, online, and other distribution channels. The report offers market size and forecasts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CategoryFood &amp; Beverages | Fresh Food | </w:t>
      </w:r>
    </w:p>
    <w:p>
      <w:pPr/>
      <w:r>
        <w:rPr>
          <w:rFonts w:ascii="Helvetica Light" w:hAnsi="Helvetica Light" w:cs="Helvetica Light"/>
          <w:sz w:val="24"/>
          <w:sz-cs w:val="24"/>
        </w:rPr>
        <w:t xml:space="preserve"> | Packaged Food | </w:t>
      </w:r>
    </w:p>
    <w:p>
      <w:pPr/>
      <w:r>
        <w:rPr>
          <w:rFonts w:ascii="Helvetica Light" w:hAnsi="Helvetica Light" w:cs="Helvetica Light"/>
          <w:sz w:val="24"/>
          <w:sz-cs w:val="24"/>
        </w:rPr>
        <w:t xml:space="preserve"> | Beverage - Alcoholic | </w:t>
      </w:r>
    </w:p>
    <w:p>
      <w:pPr/>
      <w:r>
        <w:rPr>
          <w:rFonts w:ascii="Helvetica Light" w:hAnsi="Helvetica Light" w:cs="Helvetica Light"/>
          <w:sz w:val="24"/>
          <w:sz-cs w:val="24"/>
        </w:rPr>
        <w:t xml:space="preserve"> | Beverage - Non-Alcoholic | </w:t>
      </w:r>
    </w:p>
    <w:p>
      <w:pPr/>
      <w:r>
        <w:rPr>
          <w:rFonts w:ascii="Helvetica Light" w:hAnsi="Helvetica Light" w:cs="Helvetica Light"/>
          <w:sz w:val="24"/>
          <w:sz-cs w:val="24"/>
        </w:rPr>
        <w:t xml:space="preserve">Personal &amp; Household Care | Beauty &amp; Personal Care | </w:t>
      </w:r>
    </w:p>
    <w:p>
      <w:pPr/>
      <w:r>
        <w:rPr>
          <w:rFonts w:ascii="Helvetica Light" w:hAnsi="Helvetica Light" w:cs="Helvetica Light"/>
          <w:sz w:val="24"/>
          <w:sz-cs w:val="24"/>
        </w:rPr>
        <w:t xml:space="preserve"> | Home Care | </w:t>
      </w:r>
    </w:p>
    <w:p>
      <w:pPr/>
      <w:r>
        <w:rPr>
          <w:rFonts w:ascii="Helvetica Light" w:hAnsi="Helvetica Light" w:cs="Helvetica Light"/>
          <w:sz w:val="24"/>
          <w:sz-cs w:val="24"/>
        </w:rPr>
        <w:t xml:space="preserve">Apparel, Footwear &amp; Accessories | Apparel | </w:t>
      </w:r>
    </w:p>
    <w:p>
      <w:pPr/>
      <w:r>
        <w:rPr>
          <w:rFonts w:ascii="Helvetica Light" w:hAnsi="Helvetica Light" w:cs="Helvetica Light"/>
          <w:sz w:val="24"/>
          <w:sz-cs w:val="24"/>
        </w:rPr>
        <w:t xml:space="preserve"> | Footwear | </w:t>
      </w:r>
    </w:p>
    <w:p>
      <w:pPr/>
      <w:r>
        <w:rPr>
          <w:rFonts w:ascii="Helvetica Light" w:hAnsi="Helvetica Light" w:cs="Helvetica Light"/>
          <w:sz w:val="24"/>
          <w:sz-cs w:val="24"/>
        </w:rPr>
        <w:t xml:space="preserve"> | Accessories &amp; Luxury Goods | </w:t>
      </w:r>
    </w:p>
    <w:p>
      <w:pPr/>
      <w:r>
        <w:rPr>
          <w:rFonts w:ascii="Helvetica Light" w:hAnsi="Helvetica Light" w:cs="Helvetica Light"/>
          <w:sz w:val="24"/>
          <w:sz-cs w:val="24"/>
        </w:rPr>
        <w:t xml:space="preserve">Furniture, Toys &amp; Hobby | Furniture &amp; Home Decor | </w:t>
      </w:r>
    </w:p>
    <w:p>
      <w:pPr/>
      <w:r>
        <w:rPr>
          <w:rFonts w:ascii="Helvetica Light" w:hAnsi="Helvetica Light" w:cs="Helvetica Light"/>
          <w:sz w:val="24"/>
          <w:sz-cs w:val="24"/>
        </w:rPr>
        <w:t xml:space="preserve"> | Toys &amp; Baby Products | </w:t>
      </w:r>
    </w:p>
    <w:p>
      <w:pPr/>
      <w:r>
        <w:rPr>
          <w:rFonts w:ascii="Helvetica Light" w:hAnsi="Helvetica Light" w:cs="Helvetica Light"/>
          <w:sz w:val="24"/>
          <w:sz-cs w:val="24"/>
        </w:rPr>
        <w:t xml:space="preserve"> | Sports &amp; Leisure Equipment | </w:t>
      </w:r>
    </w:p>
    <w:p>
      <w:pPr/>
      <w:r>
        <w:rPr>
          <w:rFonts w:ascii="Helvetica Light" w:hAnsi="Helvetica Light" w:cs="Helvetica Light"/>
          <w:sz w:val="24"/>
          <w:sz-cs w:val="24"/>
        </w:rPr>
        <w:t xml:space="preserve">Consumer Electronics &amp; Appliances | Mobile &amp; IT | </w:t>
      </w:r>
    </w:p>
    <w:p>
      <w:pPr/>
      <w:r>
        <w:rPr>
          <w:rFonts w:ascii="Helvetica Light" w:hAnsi="Helvetica Light" w:cs="Helvetica Light"/>
          <w:sz w:val="24"/>
          <w:sz-cs w:val="24"/>
        </w:rPr>
        <w:t xml:space="preserve"> | Home Appliances | </w:t>
      </w:r>
    </w:p>
    <w:p>
      <w:pPr/>
      <w:r>
        <w:rPr>
          <w:rFonts w:ascii="Helvetica Light" w:hAnsi="Helvetica Light" w:cs="Helvetica Light"/>
          <w:sz w:val="24"/>
          <w:sz-cs w:val="24"/>
        </w:rPr>
        <w:t xml:space="preserve"> | Other Electronics | </w:t>
      </w:r>
    </w:p>
    <w:p>
      <w:pPr/>
      <w:r>
        <w:rPr>
          <w:rFonts w:ascii="Helvetica Light" w:hAnsi="Helvetica Light" w:cs="Helvetica Light"/>
          <w:sz w:val="24"/>
          <w:sz-cs w:val="24"/>
        </w:rPr>
        <w:t xml:space="preserve"> | Other Products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 (China)East China | </w:t>
      </w:r>
    </w:p>
    <w:p>
      <w:pPr/>
      <w:r>
        <w:rPr>
          <w:rFonts w:ascii="Helvetica Light" w:hAnsi="Helvetica Light" w:cs="Helvetica Light"/>
          <w:sz w:val="24"/>
          <w:sz-cs w:val="24"/>
        </w:rPr>
        <w:t xml:space="preserve">North China | </w:t>
      </w:r>
    </w:p>
    <w:p>
      <w:pPr/>
      <w:r>
        <w:rPr>
          <w:rFonts w:ascii="Helvetica Light" w:hAnsi="Helvetica Light" w:cs="Helvetica Light"/>
          <w:sz w:val="24"/>
          <w:sz-cs w:val="24"/>
        </w:rPr>
        <w:t xml:space="preserve">Northeast China | </w:t>
      </w:r>
    </w:p>
    <w:p>
      <w:pPr/>
      <w:r>
        <w:rPr>
          <w:rFonts w:ascii="Helvetica Light" w:hAnsi="Helvetica Light" w:cs="Helvetica Light"/>
          <w:sz w:val="24"/>
          <w:sz-cs w:val="24"/>
        </w:rPr>
        <w:t xml:space="preserve">South China | </w:t>
      </w:r>
    </w:p>
    <w:p>
      <w:pPr/>
      <w:r>
        <w:rPr>
          <w:rFonts w:ascii="Helvetica Light" w:hAnsi="Helvetica Light" w:cs="Helvetica Light"/>
          <w:sz w:val="24"/>
          <w:sz-cs w:val="24"/>
        </w:rPr>
        <w:t xml:space="preserve">Central China | </w:t>
      </w:r>
    </w:p>
    <w:p>
      <w:pPr/>
      <w:r>
        <w:rPr>
          <w:rFonts w:ascii="Helvetica Light" w:hAnsi="Helvetica Light" w:cs="Helvetica Light"/>
          <w:sz w:val="24"/>
          <w:sz-cs w:val="24"/>
        </w:rPr>
        <w:t xml:space="preserve">Southwest China | </w:t>
      </w:r>
    </w:p>
    <w:p>
      <w:pPr/>
      <w:r>
        <w:rPr>
          <w:rFonts w:ascii="Helvetica Light" w:hAnsi="Helvetica Light" w:cs="Helvetica Light"/>
          <w:sz w:val="24"/>
          <w:sz-cs w:val="24"/>
        </w:rPr>
        <w:t xml:space="preserve">Northwest China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China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China retail market size is USD 2.27 trillion in 2026 and is projected to reach USD 3.34 trillion by 2031 at an 8.06%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and channel segments are leading growth across categories?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and beverages led with a 30.72% revenue share in 2025 while consumer electronics and appliances is projected to grow at a 9.23% CAGR; e-commerce held a 34.15% channel share in 2025 and discount and membership-club stores are forecast at a 13.35%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the digital yuan influencing retail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e-CNY surpassed 3.48 billion transactions totaling USD 2.37 trillion by late 2025, which is encouraging payment-stack upgrades and lower acceptance costs for merchants.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city tiers offer the strongest medium-term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Tier 2 cities held 35.62% of the China retail market in 2025 and Tier 3 cities are advancing at a 10.88% CAGR between 2026 and 2031 as lower-tier demand scales.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formats are set to gain share in 2026 and beyond?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Membership clubs and discount formats are positioned to gain as families consolidate stock-ups into bulk trips and small formats expand with automation and curated assortments in the China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policy moves could lift consumption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Consumer-goods trade-in allocations increased after 2025 sales reached USD 368.8 billion, and Hainan's zero-tariff policy added USD 1,418, annual quota per resident, which supports premium retail spend.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