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Retail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Retail (Retail)  </w:t>
      </w:r>
    </w:p>
    <w:p>
      <w:pPr/>
      <w:r>
        <w:rPr>
          <w:rFonts w:ascii="Helvetica Light" w:hAnsi="Helvetica Light" w:cs="Helvetica Light"/>
          <w:sz w:val="24"/>
          <w:sz-cs w:val="24"/>
        </w:rPr>
        <w:t xml:space="preserve">&gt; **Source:** [https://www.mordorintelligence.com/industry-reports/retail-industry](https://www.mordorintelligence.com/industry-reports/retail-industry)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29.79 billion |</w:t>
      </w:r>
    </w:p>
    <w:p>
      <w:pPr/>
      <w:r>
        <w:rPr>
          <w:rFonts w:ascii="Helvetica Light" w:hAnsi="Helvetica Light" w:cs="Helvetica Light"/>
          <w:sz w:val="24"/>
          <w:sz-cs w:val="24"/>
        </w:rPr>
        <w:t xml:space="preserve">| **Projected Forecast (2031)** | USD 29.79 billion |</w:t>
      </w:r>
    </w:p>
    <w:p>
      <w:pPr/>
      <w:r>
        <w:rPr>
          <w:rFonts w:ascii="Helvetica Light" w:hAnsi="Helvetica Light" w:cs="Helvetica Light"/>
          <w:sz w:val="24"/>
          <w:sz-cs w:val="24"/>
        </w:rPr>
        <w:t xml:space="preserve">| **Growth Rate (CAGR)** | 6.87 %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Retail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Market Share by Product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Market Share by Price Segment,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Study Period | 2020 - 2031 | </w:t>
      </w:r>
    </w:p>
    <w:p>
      <w:pPr/>
      <w:r>
        <w:rPr>
          <w:rFonts w:ascii="Helvetica Light" w:hAnsi="Helvetica Light" w:cs="Helvetica Light"/>
          <w:sz w:val="24"/>
          <w:sz-cs w:val="24"/>
        </w:rPr>
        <w:t xml:space="preserve">Market Size (2026) | USD 29.79 Trillion | </w:t>
      </w:r>
    </w:p>
    <w:p>
      <w:pPr/>
      <w:r>
        <w:rPr>
          <w:rFonts w:ascii="Helvetica Light" w:hAnsi="Helvetica Light" w:cs="Helvetica Light"/>
          <w:sz w:val="24"/>
          <w:sz-cs w:val="24"/>
        </w:rPr>
        <w:t xml:space="preserve">Market Size (2031) | USD 41.53 Trillion | </w:t>
      </w:r>
    </w:p>
    <w:p>
      <w:pPr/>
      <w:r>
        <w:rPr>
          <w:rFonts w:ascii="Helvetica Light" w:hAnsi="Helvetica Light" w:cs="Helvetica Light"/>
          <w:sz w:val="24"/>
          <w:sz-cs w:val="24"/>
        </w:rPr>
        <w:t xml:space="preserve">Growth Rate (2026 - 2031) | 6.87 %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North America | </w:t>
      </w:r>
    </w:p>
    <w:p>
      <w:pPr/>
      <w:r>
        <w:rPr>
          <w:rFonts w:ascii="Helvetica Light" w:hAnsi="Helvetica Light" w:cs="Helvetica Light"/>
          <w:sz w:val="24"/>
          <w:sz-cs w:val="24"/>
        </w:rPr>
        <w:t xml:space="preserve">Market Concentration | Medium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Market Analysis by Mordor IntelligenceThe Retail Market size is expected to grow from USD 28.12 trillion in 2025 to USD 29.79 trillion in 2026 and is forecast to reach USD 41.53 trillion by 2031 at 6.87% CAGR over 2026-2031.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Market Growth is driven by rising urban middle‑class incomes, rapid e‑commerce and mobile penetration, data‑driven personalization, and AI‑enabled supply chains that improve availability, pricing, and customer experience. Sustainability, private labels, and experiential stores further accelerate sector expansion by differentiating retailers and deepening customer loyalty, even as value‑seeking behavior and cost pressures force continuous efficiency gains and innovation.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food and beverages held 49.44% revenue share in 2025. Personal and household care recorded the highest projected growth at an 11.35% CAGR through 2031. </w:t>
      </w:r>
    </w:p>
    <w:p>
      <w:pPr/>
      <w:r>
        <w:rPr>
          <w:rFonts w:ascii="Helvetica Light" w:hAnsi="Helvetica Light" w:cs="Helvetica Light"/>
          <w:sz w:val="24"/>
          <w:sz-cs w:val="24"/>
        </w:rPr>
        <w:t xml:space="preserve">* By distribution channel, supermarkets and hypermarkets led with a 37.44% share in 2025. Online is forecast to expand at a 13.37% CAGR through 2031. </w:t>
      </w:r>
    </w:p>
    <w:p>
      <w:pPr/>
      <w:r>
        <w:rPr>
          <w:rFonts w:ascii="Helvetica Light" w:hAnsi="Helvetica Light" w:cs="Helvetica Light"/>
          <w:sz w:val="24"/>
          <w:sz-cs w:val="24"/>
        </w:rPr>
        <w:t xml:space="preserve">* By price segment, mass and value accounted for a 33.36% share in 2025. Premium is set to grow at a 10.47% CAGR through 2031. </w:t>
      </w:r>
    </w:p>
    <w:p>
      <w:pPr/>
      <w:r>
        <w:rPr>
          <w:rFonts w:ascii="Helvetica Light" w:hAnsi="Helvetica Light" w:cs="Helvetica Light"/>
          <w:sz w:val="24"/>
          <w:sz-cs w:val="24"/>
        </w:rPr>
        <w:t xml:space="preserve">* By store size, mid-format stores captured a 45.48% share in 2025. Large-format stores are projected to grow at a 9.58% CAGR through 2031. </w:t>
      </w:r>
    </w:p>
    <w:p>
      <w:pPr/>
      <w:r>
        <w:rPr>
          <w:rFonts w:ascii="Helvetica Light" w:hAnsi="Helvetica Light" w:cs="Helvetica Light"/>
          <w:sz w:val="24"/>
          <w:sz-cs w:val="24"/>
        </w:rPr>
        <w:t xml:space="preserve">* By geography, North America held a 34.43% share in 2025. Asia-Pacific is expected to post the fastest growth at an 11.73%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Retail Market Trends and InsightsDrivers Impact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Driver | (~) % Impact on CAGR Forecast | Geographic Relevance | Impact Timeline | </w:t>
      </w:r>
    </w:p>
    <w:p>
      <w:pPr/>
      <w:r>
        <w:rPr>
          <w:rFonts w:ascii="Helvetica Light" w:hAnsi="Helvetica Light" w:cs="Helvetica Light"/>
          <w:sz w:val="24"/>
          <w:sz-cs w:val="24"/>
        </w:rPr>
        <w:t xml:space="preserve">Rise of e-commerce and omnichannel retailing | +2.3% | Global, with Asia-Pacific core leading at 20.2% CAGR, spill-over to North America and Europe | Medium term (2-4 years) | </w:t>
      </w:r>
    </w:p>
    <w:p>
      <w:pPr/>
      <w:r>
        <w:rPr>
          <w:rFonts w:ascii="Helvetica Light" w:hAnsi="Helvetica Light" w:cs="Helvetica Light"/>
          <w:sz w:val="24"/>
          <w:sz-cs w:val="24"/>
        </w:rPr>
        <w:t xml:space="preserve">Growing urban middle class in emerging markets | +1.8% | Asia-Pacific, spill-over to Latin America and Middle East and Africa | Long term (≥ 4 years) | </w:t>
      </w:r>
    </w:p>
    <w:p>
      <w:pPr/>
      <w:r>
        <w:rPr>
          <w:rFonts w:ascii="Helvetica Light" w:hAnsi="Helvetica Light" w:cs="Helvetica Light"/>
          <w:sz w:val="24"/>
          <w:sz-cs w:val="24"/>
        </w:rPr>
        <w:t xml:space="preserve">AI-powered personalization and retail analytics | +1.1% | North America and Europe are leading, expanding to Asia-Pacific | Short term (≤ 2 years) | </w:t>
      </w:r>
    </w:p>
    <w:p>
      <w:pPr/>
      <w:r>
        <w:rPr>
          <w:rFonts w:ascii="Helvetica Light" w:hAnsi="Helvetica Light" w:cs="Helvetica Light"/>
          <w:sz w:val="24"/>
          <w:sz-cs w:val="24"/>
        </w:rPr>
        <w:t xml:space="preserve">Expansion of quick commerce and last-mile logistics | +0.9% | Global, concentrated in urban centers | Short term (≤ 2 years) | </w:t>
      </w:r>
    </w:p>
    <w:p>
      <w:pPr/>
      <w:r>
        <w:rPr>
          <w:rFonts w:ascii="Helvetica Light" w:hAnsi="Helvetica Light" w:cs="Helvetica Light"/>
          <w:sz w:val="24"/>
          <w:sz-cs w:val="24"/>
        </w:rPr>
        <w:t xml:space="preserve">Retail-media network monetization boom | +0.7% | National, with early gains in the United States, the United Kingdom, and China | Medium term (2-4 years) | </w:t>
      </w:r>
    </w:p>
    <w:p>
      <w:pPr/>
      <w:r>
        <w:rPr>
          <w:rFonts w:ascii="Helvetica Light" w:hAnsi="Helvetica Light" w:cs="Helvetica Light"/>
          <w:sz w:val="24"/>
          <w:sz-cs w:val="24"/>
        </w:rPr>
        <w:t xml:space="preserve">Gen-Z shoppertainment social commerce | +0.5% | Asia-Pacific core, expanding globally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intensity stayed high as omnichannel leaders invested in AI, delivery speed, and retail media to widen moats. Amazon’s advertising services revenue reached a sizable base by 2025, and Walmart Connect grew at a double-digit pace in 2025, which signaled the strategic value of first-party data and closed-loop measurement. Walmart partnered with OpenAI to roll out conversational commerce features, while Amazon scaled its AI assistant to lift discovery and conversion. Membership clubs leveraged fee income to support lean merchandising margins and defend cost advantages across fresh, grocery, and general merchandise. These moves shape operating models and reinforce differentiation in the global retail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Pro home improvement chains expanded their addressable market through acquisitions that integrated wholesale distribution with retail networks. The Home Depot’s SRS Distribution acquisition boosted its pro contractor proposition, and peer investments in B2B platforms strengthen account-level value propositions. Sporting goods consolidation and banner integrations pursued scale benefits in footprint, vendor relationships, and urban access. Store estates continue to adapt as successful retailers structure locations as experience centers and rapid fulfillment nodes for a higher mix and faster flow. Execution at the store and supply chain interface remains a key differentiator in the retail industry.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media networks matured into a core profit lever across food, mass, and specialty, with strong growth in the United States and rising traction in Europe and Asia. Advertisers prioritized first-party data access and closed-loop reporting, although fragmentation and data governance remain challenges. Partnerships and white-label platforms accelerated deployment by retailers that prefer speed to market over building in-house. In fast-growing markets like India and Latin America, regional champions leveraged local infrastructure and policy knowledge to compete with global platforms. Technology-enabled vertical integration and delivery density continue to underpin the advantage in the global retail market.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Retail Industry Leaders* Walmart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Amazon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Costco Wholesale Corporation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Schwarz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Alibaba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Our analysts treat the global retail industry as the total invoiced value of finished goods sold to final consumers through store-based, non-store, and omnichannel formats, covering food, beverage, apparel, consumer durables, and everyday essentials. We count sales booked in the country where the transaction takes place, net of returns and inclusive of taxes.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 pure wholesale trade and strictly B2B online marketplaces are not included.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Product Type* Food &amp; Beverage</w:t>
      </w:r>
    </w:p>
    <w:p>
      <w:pPr/>
      <w:r>
        <w:rPr>
          <w:rFonts w:ascii="Helvetica Light" w:hAnsi="Helvetica Light" w:cs="Helvetica Light"/>
          <w:sz w:val="24"/>
          <w:sz-cs w:val="24"/>
        </w:rPr>
        <w:t xml:space="preserve">* Personal &amp; Household Care</w:t>
      </w:r>
    </w:p>
    <w:p>
      <w:pPr/>
      <w:r>
        <w:rPr>
          <w:rFonts w:ascii="Helvetica Light" w:hAnsi="Helvetica Light" w:cs="Helvetica Light"/>
          <w:sz w:val="24"/>
          <w:sz-cs w:val="24"/>
        </w:rPr>
        <w:t xml:space="preserve">* Apparel</w:t>
      </w:r>
    </w:p>
    <w:p>
      <w:pPr/>
      <w:r>
        <w:rPr>
          <w:rFonts w:ascii="Helvetica Light" w:hAnsi="Helvetica Light" w:cs="Helvetica Light"/>
          <w:sz w:val="24"/>
          <w:sz-cs w:val="24"/>
        </w:rPr>
        <w:t xml:space="preserve">* Footwear &amp; Accessories</w:t>
      </w:r>
    </w:p>
    <w:p>
      <w:pPr/>
      <w:r>
        <w:rPr>
          <w:rFonts w:ascii="Helvetica Light" w:hAnsi="Helvetica Light" w:cs="Helvetica Light"/>
          <w:sz w:val="24"/>
          <w:sz-cs w:val="24"/>
        </w:rPr>
        <w:t xml:space="preserve">* Furniture</w:t>
      </w:r>
    </w:p>
    <w:p>
      <w:pPr/>
      <w:r>
        <w:rPr>
          <w:rFonts w:ascii="Helvetica Light" w:hAnsi="Helvetica Light" w:cs="Helvetica Light"/>
          <w:sz w:val="24"/>
          <w:sz-cs w:val="24"/>
        </w:rPr>
        <w:t xml:space="preserve">* Toys &amp; Hobbies</w:t>
      </w:r>
    </w:p>
    <w:p>
      <w:pPr/>
      <w:r>
        <w:rPr>
          <w:rFonts w:ascii="Helvetica Light" w:hAnsi="Helvetica Light" w:cs="Helvetica Light"/>
          <w:sz w:val="24"/>
          <w:sz-cs w:val="24"/>
        </w:rPr>
        <w:t xml:space="preserve">* Electronics &amp; Household Appliances</w:t>
      </w:r>
    </w:p>
    <w:p>
      <w:pPr/>
      <w:r>
        <w:rPr>
          <w:rFonts w:ascii="Helvetica Light" w:hAnsi="Helvetica Light" w:cs="Helvetica Light"/>
          <w:sz w:val="24"/>
          <w:sz-cs w:val="24"/>
        </w:rPr>
        <w:t xml:space="preserve">* Other Products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Distribution Channel* Supermarkets / Hypermarkets</w:t>
      </w:r>
    </w:p>
    <w:p>
      <w:pPr/>
      <w:r>
        <w:rPr>
          <w:rFonts w:ascii="Helvetica Light" w:hAnsi="Helvetica Light" w:cs="Helvetica Light"/>
          <w:sz w:val="24"/>
          <w:sz-cs w:val="24"/>
        </w:rPr>
        <w:t xml:space="preserve">* Convenience Stores</w:t>
      </w:r>
    </w:p>
    <w:p>
      <w:pPr/>
      <w:r>
        <w:rPr>
          <w:rFonts w:ascii="Helvetica Light" w:hAnsi="Helvetica Light" w:cs="Helvetica Light"/>
          <w:sz w:val="24"/>
          <w:sz-cs w:val="24"/>
        </w:rPr>
        <w:t xml:space="preserve">* Department Stores</w:t>
      </w:r>
    </w:p>
    <w:p>
      <w:pPr/>
      <w:r>
        <w:rPr>
          <w:rFonts w:ascii="Helvetica Light" w:hAnsi="Helvetica Light" w:cs="Helvetica Light"/>
          <w:sz w:val="24"/>
          <w:sz-cs w:val="24"/>
        </w:rPr>
        <w:t xml:space="preserve">* Specialty Stores</w:t>
      </w:r>
    </w:p>
    <w:p>
      <w:pPr/>
      <w:r>
        <w:rPr>
          <w:rFonts w:ascii="Helvetica Light" w:hAnsi="Helvetica Light" w:cs="Helvetica Light"/>
          <w:sz w:val="24"/>
          <w:sz-cs w:val="24"/>
        </w:rPr>
        <w:t xml:space="preserve">* Online</w:t>
      </w:r>
    </w:p>
    <w:p>
      <w:pPr/>
      <w:r>
        <w:rPr>
          <w:rFonts w:ascii="Helvetica Light" w:hAnsi="Helvetica Light" w:cs="Helvetica Light"/>
          <w:sz w:val="24"/>
          <w:sz-cs w:val="24"/>
        </w:rPr>
        <w:t xml:space="preserve">* Other Channels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Price Segment* Mass / Value</w:t>
      </w:r>
    </w:p>
    <w:p>
      <w:pPr/>
      <w:r>
        <w:rPr>
          <w:rFonts w:ascii="Helvetica Light" w:hAnsi="Helvetica Light" w:cs="Helvetica Light"/>
          <w:sz w:val="24"/>
          <w:sz-cs w:val="24"/>
        </w:rPr>
        <w:t xml:space="preserve">* Premium</w:t>
      </w:r>
    </w:p>
    <w:p>
      <w:pPr/>
      <w:r>
        <w:rPr>
          <w:rFonts w:ascii="Helvetica Light" w:hAnsi="Helvetica Light" w:cs="Helvetica Light"/>
          <w:sz w:val="24"/>
          <w:sz-cs w:val="24"/>
        </w:rPr>
        <w:t xml:space="preserve">* Luxury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Store Size* Large-Format (Greater than 2,500 sq. m)</w:t>
      </w:r>
    </w:p>
    <w:p>
      <w:pPr/>
      <w:r>
        <w:rPr>
          <w:rFonts w:ascii="Helvetica Light" w:hAnsi="Helvetica Light" w:cs="Helvetica Light"/>
          <w:sz w:val="24"/>
          <w:sz-cs w:val="24"/>
        </w:rPr>
        <w:t xml:space="preserve">* Mid-Format (400-2,500 sq. m)</w:t>
      </w:r>
    </w:p>
    <w:p>
      <w:pPr/>
      <w:r>
        <w:rPr>
          <w:rFonts w:ascii="Helvetica Light" w:hAnsi="Helvetica Light" w:cs="Helvetica Light"/>
          <w:sz w:val="24"/>
          <w:sz-cs w:val="24"/>
        </w:rPr>
        <w:t xml:space="preserve">* Small / Micro (Less than 400 sq.m)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By Geography* North America* Canada</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Mexico</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South America* Brazil</w:t>
      </w:r>
    </w:p>
    <w:p>
      <w:pPr/>
      <w:r>
        <w:rPr>
          <w:rFonts w:ascii="Helvetica Light" w:hAnsi="Helvetica Light" w:cs="Helvetica Light"/>
          <w:sz w:val="24"/>
          <w:sz-cs w:val="24"/>
        </w:rPr>
        <w:t xml:space="preserve">* Peru</w:t>
      </w:r>
    </w:p>
    <w:p>
      <w:pPr/>
      <w:r>
        <w:rPr>
          <w:rFonts w:ascii="Helvetica Light" w:hAnsi="Helvetica Light" w:cs="Helvetica Light"/>
          <w:sz w:val="24"/>
          <w:sz-cs w:val="24"/>
        </w:rPr>
        <w:t xml:space="preserve">* Chile</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Asia-Pacific* India</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South-East Asia (Singapore, Malaysia, Thailand, Indonesia, Vietnam, Philippines)</w:t>
      </w:r>
    </w:p>
    <w:p>
      <w:pPr/>
      <w:r>
        <w:rPr>
          <w:rFonts w:ascii="Helvetica Light" w:hAnsi="Helvetica Light" w:cs="Helvetica Light"/>
          <w:sz w:val="24"/>
          <w:sz-cs w:val="24"/>
        </w:rPr>
        <w:t xml:space="preserve">* Rest of Asia-Pacific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Europe* United Kingdom</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BENELUX (Belgium, Netherlands, Luxembourg)</w:t>
      </w:r>
    </w:p>
    <w:p>
      <w:pPr/>
      <w:r>
        <w:rPr>
          <w:rFonts w:ascii="Helvetica Light" w:hAnsi="Helvetica Light" w:cs="Helvetica Light"/>
          <w:sz w:val="24"/>
          <w:sz-cs w:val="24"/>
        </w:rPr>
        <w:t xml:space="preserve">* NORDICS (Denmark, Finland, Iceland, Norway, Sweden)</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Middle East &amp; Africa* United Arab Emirates</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Nigeria</w:t>
      </w:r>
    </w:p>
    <w:p>
      <w:pPr/>
      <w:r>
        <w:rPr>
          <w:rFonts w:ascii="Helvetica Light" w:hAnsi="Helvetica Light" w:cs="Helvetica Light"/>
          <w:sz w:val="24"/>
          <w:sz-cs w:val="24"/>
        </w:rPr>
        <w:t xml:space="preserve">* Rest of Middle East &amp;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global retail market size in 2026 and the projected 2031 value?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global retail market size is USD 29.79 trillion in 2026 and is expected to reach USD 41.53 trillion by 2031 at a 6.87% CAGR.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product categories lead and which are growing fastest worldwide?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Food and beverages lead with a 49.44% share in 2025, while personal and household care are forecast to grow fastest at an 11.35% CAGR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channels are expanding fastest, and how are stores evolving?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Online is the fastest-growing channel at a 13.37% CAGR through 2031, while stores operate as experience centers and fulfillment hubs to support omnichannel flow.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show the strongest growth outlook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Asia-Pacific is the fastest-growing region at an 11.73% CAGR, while North America held a 34.43% share in 2025.</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are AI and retail media changing retail economics?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 improves discovery, routing, and inventory accuracy while retail media monetizes first-party data at higher margins than merchandising, strengthening profit mix.</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India shaping the global retail opportunity through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India is scaling organized retail and e-commerce with stronger brand entry and new mall supply across major cities, helping drive APAC's lead in growth.</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