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Scandinavia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[https://www.mordorintelligence.com/industry-reports/scandinavia-construction-market](https://www.mordorintelligence.com/industry-reports/scandinavia-construction-market)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141.22 billion |</w:t>
      </w:r>
    </w:p>
    <w:p>
      <w:pPr/>
      <w:r>
        <w:rPr>
          <w:rFonts w:ascii="Helvetica Light" w:hAnsi="Helvetica Light" w:cs="Helvetica Light"/>
          <w:sz w:val="24"/>
          <w:sz-cs w:val="24"/>
        </w:rPr>
        <w:t xml:space="preserve">| **Projected Forecast (2031)** | USD 141.22 billion |</w:t>
      </w:r>
    </w:p>
    <w:p>
      <w:pPr/>
      <w:r>
        <w:rPr>
          <w:rFonts w:ascii="Helvetica Light" w:hAnsi="Helvetica Light" w:cs="Helvetica Light"/>
          <w:sz w:val="24"/>
          <w:sz-cs w:val="24"/>
        </w:rPr>
        <w:t xml:space="preserve">| **Growth Rate (CAGR)** | 4.89 %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Scandinavia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Market Share by Sector](images/chart_4.png)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Market Share by Construction Method](images/chart_5.png)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135.13 Billion | </w:t>
      </w:r>
    </w:p>
    <w:p>
      <w:pPr/>
      <w:r>
        <w:rPr>
          <w:rFonts w:ascii="Helvetica Light" w:hAnsi="Helvetica Light" w:cs="Helvetica Light"/>
          <w:sz w:val="24"/>
          <w:sz-cs w:val="24"/>
        </w:rPr>
        <w:t xml:space="preserve">Market Size (2026) | USD 141.22 Billion | </w:t>
      </w:r>
    </w:p>
    <w:p>
      <w:pPr/>
      <w:r>
        <w:rPr>
          <w:rFonts w:ascii="Helvetica Light" w:hAnsi="Helvetica Light" w:cs="Helvetica Light"/>
          <w:sz w:val="24"/>
          <w:sz-cs w:val="24"/>
        </w:rPr>
        <w:t xml:space="preserve">Market Size (2031) | USD 179.30 Billion | </w:t>
      </w:r>
    </w:p>
    <w:p>
      <w:pPr/>
      <w:r>
        <w:rPr>
          <w:rFonts w:ascii="Helvetica Light" w:hAnsi="Helvetica Light" w:cs="Helvetica Light"/>
          <w:sz w:val="24"/>
          <w:sz-cs w:val="24"/>
        </w:rPr>
        <w:t xml:space="preserve">Growth Rate (2026 - 2031) | 4.89 %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Analysis by Mordor IntelligenceThe Scandinavian construction market size was valued at USD 135.13 billion in 2025 and is estimated to grow from USD 141.22 billion in 2026 to reach USD 179.3 billion by 2031, at a CAGR of 4.89% during the forecast period (2026-2031). Growth is tilting away from speculative homebuilding toward infrastructure programs that hard-wire renewable-energy hubs, defense facilities, and strict energy-performance upgrades. A deep prefabrication culture, strong public-sector balance sheets, and low-carbon grid power continue to attract capital for data centers and power-to-X plants. Contractors that can navigate embodied-carbon rules, manage volatile timber supply, and integrate factory-built modules are positioned to win long-run maintenance-heavy contracts. Competitive discipline remains moderate because the top five incumbents still control the largest turnkey packages but face shrinking bid margins tied to fixed-price procurement formats[1]Skanska AB, “Annual Report 2025,” SKANSKA.COM.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sector, infrastructure held 45% of the Scandinavian construction market share in 2025, while residential is projected to register the fastest 5.80% CAGR through 2031.</w:t>
      </w:r>
    </w:p>
    <w:p>
      <w:pPr/>
      <w:r>
        <w:rPr>
          <w:rFonts w:ascii="Helvetica Light" w:hAnsi="Helvetica Light" w:cs="Helvetica Light"/>
          <w:sz w:val="24"/>
          <w:sz-cs w:val="24"/>
        </w:rPr>
        <w:t xml:space="preserve">* By construction type, new-build projects commanded 60% share of the Scandinavian construction market size in 2025, whereas renovation is forecast to advance at a 5.00% CAGR to 2031.</w:t>
      </w:r>
    </w:p>
    <w:p>
      <w:pPr/>
      <w:r>
        <w:rPr>
          <w:rFonts w:ascii="Helvetica Light" w:hAnsi="Helvetica Light" w:cs="Helvetica Light"/>
          <w:sz w:val="24"/>
          <w:sz-cs w:val="24"/>
        </w:rPr>
        <w:t xml:space="preserve">* By construction method, conventional on-site techniques retained an 80% share in 2025 and modern methods of construction are expanding at a 7.00% CAGR through 2031.</w:t>
      </w:r>
    </w:p>
    <w:p>
      <w:pPr/>
      <w:r>
        <w:rPr>
          <w:rFonts w:ascii="Helvetica Light" w:hAnsi="Helvetica Light" w:cs="Helvetica Light"/>
          <w:sz w:val="24"/>
          <w:sz-cs w:val="24"/>
        </w:rPr>
        <w:t xml:space="preserve">* By country, Sweden led with a 45% revenue share in 2025 and Norway is on track for the quickest 6.00%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Surge in prefabricated and modular housing | +0.9% | Sweden dominates; Denmark and Norway scaling adoption | Medium term (2-4 years) | </w:t>
      </w:r>
    </w:p>
    <w:p>
      <w:pPr/>
      <w:r>
        <w:rPr>
          <w:rFonts w:ascii="Helvetica Light" w:hAnsi="Helvetica Light" w:cs="Helvetica Light"/>
          <w:sz w:val="24"/>
          <w:sz-cs w:val="24"/>
        </w:rPr>
        <w:t xml:space="preserve">Public-sector infrastructure acceleration | +1.1% | Region-wide; Sweden EUR 3.5 billion allocation | Short term (≤ 2 years) | </w:t>
      </w:r>
    </w:p>
    <w:p>
      <w:pPr/>
      <w:r>
        <w:rPr>
          <w:rFonts w:ascii="Helvetica Light" w:hAnsi="Helvetica Light" w:cs="Helvetica Light"/>
          <w:sz w:val="24"/>
          <w:sz-cs w:val="24"/>
        </w:rPr>
        <w:t xml:space="preserve">Renewable-energy megaproject pipeline | +1.3% | Norway offshore wind; Denmark power-to-X hubs | Long term (≥ 4 years) | </w:t>
      </w:r>
    </w:p>
    <w:p>
      <w:pPr/>
      <w:r>
        <w:rPr>
          <w:rFonts w:ascii="Helvetica Light" w:hAnsi="Helvetica Light" w:cs="Helvetica Light"/>
          <w:sz w:val="24"/>
          <w:sz-cs w:val="24"/>
        </w:rPr>
        <w:t xml:space="preserve">Energy-efficiency retrofit incentives | +0.8% | Denmark USD 45 million; Sweden USD 75 million annualized | Medium term (2-4 years) | </w:t>
      </w:r>
    </w:p>
    <w:p>
      <w:pPr/>
      <w:r>
        <w:rPr>
          <w:rFonts w:ascii="Helvetica Light" w:hAnsi="Helvetica Light" w:cs="Helvetica Light"/>
          <w:sz w:val="24"/>
          <w:sz-cs w:val="24"/>
        </w:rPr>
        <w:t xml:space="preserve">Arctic and Baltic defense build-up | +0.6% | Norway USD 4.5 billion; northern Sweden installations | Long term (≥ 4 years) | </w:t>
      </w:r>
    </w:p>
    <w:p>
      <w:pPr/>
      <w:r>
        <w:rPr>
          <w:rFonts w:ascii="Helvetica Light" w:hAnsi="Helvetica Light" w:cs="Helvetica Light"/>
          <w:sz w:val="24"/>
          <w:sz-cs w:val="24"/>
        </w:rPr>
        <w:t xml:space="preserve">Nordic data-center colocation boom | +0.7% | Sweden hyperscale dominance; Norway emerging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Skanska, NCC, Peab, Veidekke, and AF Gruppen jointly control backlogs exceeding USD 27 billion, yet none exceeds 20% individually. Skanska’s USD 780 million Huddinge hospital and USD 42 million Solna land sale highlight a strategy of land banking near power-dense nodes. Veidekke’s USD 400 million E6 Nordland and USD 77 million Mariestad upgrades illustrate turnover diversification and embedded O&amp;M clauses. NCC shed residential exposure in 2024 to focus on public infrastructure, while Peab leans on in-house prefab lines for affordable 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 Gruppen’s February 2026 purchase of 70% of H.A. Bygg for USD 13 million marks an early-stage land-grab in Sweden’s civil-works corridor. Digital adoption is uneven: 60% of firms trial AI, yet only 25% harvest double-digit productivity gains, leaving upside for data-rich early movers. Entry barriers inside defense work remain steep because NATO-level clearances exclude new challengers, effectively cartelizing a stable cash-flow niche.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sits in energy-performance contracting, where guaranteed-savings models lure asset owners, and in advanced factory modules that combine timber-steel hybrids to offset CLT volatility. Multinationals eyeing the Scandinavian construction market must navigate embodied-carbon audits, tight labor pools, and fixed-price procurement, but can leverage the region’s green-power brand to pilot low-carbon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Scandinavia Construction Industry Leaders* Veidekke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Skanska AB (Sweden)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NCC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Peab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JM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Scandinavian construction market as all on-site and off-site works that create, extend, or refurbish buildings and civil infrastructure across Denmark, Sweden, and Norway, valued at the invoice price of labor, materials, and fixed equipment. New build, major renovations, and large maintenance projects are in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very small DIY repairs and purely temporary structures fall outside this definition.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Sector* Residential* Apartments and Condominums</w:t>
      </w:r>
    </w:p>
    <w:p>
      <w:pPr/>
      <w:r>
        <w:rPr>
          <w:rFonts w:ascii="Helvetica Light" w:hAnsi="Helvetica Light" w:cs="Helvetica Light"/>
          <w:sz w:val="24"/>
          <w:sz-cs w:val="24"/>
        </w:rPr>
        <w:t xml:space="preserve">* Villas and Landed 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Commercial* Office</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Industrial and Logistics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Infrastructure* Transportation Infrastructure</w:t>
      </w:r>
    </w:p>
    <w:p>
      <w:pPr/>
      <w:r>
        <w:rPr>
          <w:rFonts w:ascii="Helvetica Light" w:hAnsi="Helvetica Light" w:cs="Helvetica Light"/>
          <w:sz w:val="24"/>
          <w:sz-cs w:val="24"/>
        </w:rPr>
        <w:t xml:space="preserve">* Energy and Utilities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Construction Type* New Construction</w:t>
      </w:r>
    </w:p>
    <w:p>
      <w:pPr/>
      <w:r>
        <w:rPr>
          <w:rFonts w:ascii="Helvetica Light" w:hAnsi="Helvetica Light" w:cs="Helvetica Light"/>
          <w:sz w:val="24"/>
          <w:sz-cs w:val="24"/>
        </w:rPr>
        <w:t xml:space="preserve">* Renovation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Construction Method* Conventional On-Site</w:t>
      </w:r>
    </w:p>
    <w:p>
      <w:pPr/>
      <w:r>
        <w:rPr>
          <w:rFonts w:ascii="Helvetica Light" w:hAnsi="Helvetica Light" w:cs="Helvetica Light"/>
          <w:sz w:val="24"/>
          <w:sz-cs w:val="24"/>
        </w:rPr>
        <w:t xml:space="preserve">* Modern Methods of Construction (Prefabricated, Modular,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Investment Source* Public</w:t>
      </w:r>
    </w:p>
    <w:p>
      <w:pPr/>
      <w:r>
        <w:rPr>
          <w:rFonts w:ascii="Helvetica Light" w:hAnsi="Helvetica Light" w:cs="Helvetica Light"/>
          <w:sz w:val="24"/>
          <w:sz-cs w:val="24"/>
        </w:rPr>
        <w:t xml:space="preserve">* Private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Denmark</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Norway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will Scandinavian construction spending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reach USD 179.3 billion, climbing from USD 141.22 billion in 2026 at a 4.89%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Modern Methods of Construction is scaling at a 7.00% CAGR as labor shortages and speed-to-market pressures intensify.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Norway’s growth outpacing its neighbors?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defense installations, offshore-wind grids, and strong sovereign-fund backing propel Norway to a 6.00%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renovation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2026 EPBD deadline forces deep retrofits to meet energy-performance and embodied-carbon caps, lifting renovation work at a 5.00%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embodied-carbon rules affecting contractors?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adds design-documentation costs and favors firms sourcing low-carbon materials, yet it also creates first-mover pricing power on public bids.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