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Seed Treatment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Seeds, Seed Treatment &amp; Produce (Agriculture &amp; Agribusiness)  </w:t>
      </w:r>
    </w:p>
    <w:p>
      <w:pPr/>
      <w:r>
        <w:rPr>
          <w:rFonts w:ascii="Helvetica Light" w:hAnsi="Helvetica Light" w:cs="Helvetica Light"/>
          <w:sz w:val="24"/>
          <w:sz-cs w:val="24"/>
        </w:rPr>
        <w:t xml:space="preserve">&gt; **Source:** [https://www.mordorintelligence.com/industry-reports/seed-treatment-market](https://www.mordorintelligence.com/industry-reports/seed-treatment-market)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9.90 billion |</w:t>
      </w:r>
    </w:p>
    <w:p>
      <w:pPr/>
      <w:r>
        <w:rPr>
          <w:rFonts w:ascii="Helvetica Light" w:hAnsi="Helvetica Light" w:cs="Helvetica Light"/>
          <w:sz w:val="24"/>
          <w:sz-cs w:val="24"/>
        </w:rPr>
        <w:t xml:space="preserve">| **Projected Forecast (2031)** | USD 9.90 billion |</w:t>
      </w:r>
    </w:p>
    <w:p>
      <w:pPr/>
      <w:r>
        <w:rPr>
          <w:rFonts w:ascii="Helvetica Light" w:hAnsi="Helvetica Light" w:cs="Helvetica Light"/>
          <w:sz w:val="24"/>
          <w:sz-cs w:val="24"/>
        </w:rPr>
        <w:t xml:space="preserve">| **Growth Rate (CAGR)** | 4.23 %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Seed Treatment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![Seed Treatment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![Seed Treatment Market Share by Function,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![Seed Treatment Market CAGR (%), Growth Rate by Region](images/chart_5.png)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![Seed Treatment Market Concentration](images/chart_6.png)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![research-methodology](images/chart_7.svg)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2018 - 2031 | </w:t>
      </w:r>
    </w:p>
    <w:p>
      <w:pPr/>
      <w:r>
        <w:rPr>
          <w:rFonts w:ascii="Helvetica Light" w:hAnsi="Helvetica Light" w:cs="Helvetica Light"/>
          <w:sz w:val="24"/>
          <w:sz-cs w:val="24"/>
        </w:rPr>
        <w:t xml:space="preserve">Market Size (2026) | USD 9.90 Billion | </w:t>
      </w:r>
    </w:p>
    <w:p>
      <w:pPr/>
      <w:r>
        <w:rPr>
          <w:rFonts w:ascii="Helvetica Light" w:hAnsi="Helvetica Light" w:cs="Helvetica Light"/>
          <w:sz w:val="24"/>
          <w:sz-cs w:val="24"/>
        </w:rPr>
        <w:t xml:space="preserve">Market Size (2031) | USD 12.18 Billion | </w:t>
      </w:r>
    </w:p>
    <w:p>
      <w:pPr/>
      <w:r>
        <w:rPr>
          <w:rFonts w:ascii="Helvetica Light" w:hAnsi="Helvetica Light" w:cs="Helvetica Light"/>
          <w:sz w:val="24"/>
          <w:sz-cs w:val="24"/>
        </w:rPr>
        <w:t xml:space="preserve">Growth Rate (2026 - 2031) | 4.23 % | </w:t>
      </w:r>
    </w:p>
    <w:p>
      <w:pPr/>
      <w:r>
        <w:rPr>
          <w:rFonts w:ascii="Helvetica Light" w:hAnsi="Helvetica Light" w:cs="Helvetica Light"/>
          <w:sz w:val="24"/>
          <w:sz-cs w:val="24"/>
        </w:rPr>
        <w:t xml:space="preserve">Fastest Growing Market | North America | </w:t>
      </w:r>
    </w:p>
    <w:p>
      <w:pPr/>
      <w:r>
        <w:rPr>
          <w:rFonts w:ascii="Helvetica Light" w:hAnsi="Helvetica Light" w:cs="Helvetica Light"/>
          <w:sz w:val="24"/>
          <w:sz-cs w:val="24"/>
        </w:rPr>
        <w:t xml:space="preserve">Largest Market | South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Seed Treatment Market Analysis by Mordor Intelligence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Seed treatment market size in 2026 is estimated at USD 9.9 billion, growing from 2025 value of USD 9.5 billion with 2031 projections showing USD 12.18 billion, growing at 4.23% CAGR over 2026-2031. Market expansion is propelled by precision-agriculture platforms that enable micro-dosing, a surge in biological formulations that comply with stricter residue rules, and escalating adoption of high-value hybrid and genetically modified seeds. Sustained investments in polymer encapsulation have reduced dust-off emissions to meet European and North American safety thresholds, while regulatory incentives reward low-residue coatings and expedite the approval of biological products. Competitive dynamics remain in flux as strategic alliances between agrochemical majors and biotech start-ups shorten product-development cycles and diversify seed-applied nematicide options. Moderate concentration leaves headroom for specialized players that can combine proprietary microorganisms with advanced coating chemistries and offer bundled agronomic services.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function, insecticides led the seed treatment market with a 71.35% market share in 2025 and are projected to record the fastest growth of 4.61% CAGR through 2031. </w:t>
      </w:r>
    </w:p>
    <w:p>
      <w:pPr/>
      <w:r>
        <w:rPr>
          <w:rFonts w:ascii="Helvetica Light" w:hAnsi="Helvetica Light" w:cs="Helvetica Light"/>
          <w:sz w:val="24"/>
          <w:sz-cs w:val="24"/>
        </w:rPr>
        <w:t xml:space="preserve">* By crop type, grains and cereals accounted for 41.75% of the seed treatment market size in 2025, whereas pulses and oilseeds are anticipated to advance at a 4.48% CAGR to 2031. </w:t>
      </w:r>
    </w:p>
    <w:p>
      <w:pPr/>
      <w:r>
        <w:rPr>
          <w:rFonts w:ascii="Helvetica Light" w:hAnsi="Helvetica Light" w:cs="Helvetica Light"/>
          <w:sz w:val="24"/>
          <w:sz-cs w:val="24"/>
        </w:rPr>
        <w:t xml:space="preserve">* By geography, South America captured 44.10% of the seed treatment market share in 2025, while North America is forecast to expand at a 4.66% CAGR between 2026 and 2031. </w:t>
      </w:r>
    </w:p>
    <w:p>
      <w:pPr/>
      <w:r>
        <w:rPr>
          <w:rFonts w:ascii="Helvetica Light" w:hAnsi="Helvetica Light" w:cs="Helvetica Light"/>
          <w:sz w:val="24"/>
          <w:sz-cs w:val="24"/>
        </w:rPr>
        <w:t xml:space="preserve">* The seed treatment market is moderately concentrated, with the top five suppliers accounting for less than 50% of global revenue.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Seed Treatment Market*Driver | (~) % Impact on CAGR Forecast | Geographic Relevance | Impact Timeline | </w:t>
      </w:r>
    </w:p>
    <w:p>
      <w:pPr/>
      <w:r>
        <w:rPr>
          <w:rFonts w:ascii="Helvetica Light" w:hAnsi="Helvetica Light" w:cs="Helvetica Light"/>
          <w:sz w:val="24"/>
          <w:sz-cs w:val="24"/>
        </w:rPr>
        <w:t xml:space="preserve">Surge in biological seed-treatment R&amp;D partnerships | +0.8% | Global with Asia Pacific leadership | Medium term (2–4 years) | </w:t>
      </w:r>
    </w:p>
    <w:p>
      <w:pPr/>
      <w:r>
        <w:rPr>
          <w:rFonts w:ascii="Helvetica Light" w:hAnsi="Helvetica Light" w:cs="Helvetica Light"/>
          <w:sz w:val="24"/>
          <w:sz-cs w:val="24"/>
        </w:rPr>
        <w:t xml:space="preserve">Precision-agriculture driven micro-dosing demand | +0.7% | North America and Europe | Short term (≤ 2 years) | </w:t>
      </w:r>
    </w:p>
    <w:p>
      <w:pPr/>
      <w:r>
        <w:rPr>
          <w:rFonts w:ascii="Helvetica Light" w:hAnsi="Helvetica Light" w:cs="Helvetica Light"/>
          <w:sz w:val="24"/>
          <w:sz-cs w:val="24"/>
        </w:rPr>
        <w:t xml:space="preserve">Shift to polymer encapsulation for reduced dust-off | +0.6% | Europe and North America | Medium term (2–4 years) | </w:t>
      </w:r>
    </w:p>
    <w:p>
      <w:pPr/>
      <w:r>
        <w:rPr>
          <w:rFonts w:ascii="Helvetica Light" w:hAnsi="Helvetica Light" w:cs="Helvetica Light"/>
          <w:sz w:val="24"/>
          <w:sz-cs w:val="24"/>
        </w:rPr>
        <w:t xml:space="preserve">Regulatory incentives favoring low-residue coatings | +0.5% | Europe, North America, emerging Asia Pacific | Long term (≥ 4 years) | </w:t>
      </w:r>
    </w:p>
    <w:p>
      <w:pPr/>
      <w:r>
        <w:rPr>
          <w:rFonts w:ascii="Helvetica Light" w:hAnsi="Helvetica Light" w:cs="Helvetica Light"/>
          <w:sz w:val="24"/>
          <w:sz-cs w:val="24"/>
        </w:rPr>
        <w:t xml:space="preserve">Growth in GMO and high-value hybrid seed adoption | +0.9% | Global, strongest in Americas | Short term (≤ 2 years) | </w:t>
      </w:r>
    </w:p>
    <w:p>
      <w:pPr/>
      <w:r>
        <w:rPr>
          <w:rFonts w:ascii="Helvetica Light" w:hAnsi="Helvetica Light" w:cs="Helvetica Light"/>
          <w:sz w:val="24"/>
          <w:sz-cs w:val="24"/>
        </w:rPr>
        <w:t xml:space="preserve">Expansion of seed-applied nematicides for soy and corn | +0.7% | South America, United States corn belt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concentration remains moderate, with the top five suppliers accounting for less than 50% of global revenue. Notably, Syngenta leads, followed by Bayer and BASF. Scale affords these firms unmatched distribution, R&amp;D, and regulatory resources. Yet, the seed treatment market leaves ample room for specialists to leverage patented microbial strains, RNAi technology, and biodegradable polymers that satisfy emerging sustainability metrics.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Companies are investing in bio-based treatments and environmentally friendly formulations to meet growing demand for sustainable agriculture practices. Building strong relationships with seed companies and agricultural service providers has become crucial for maintaining market share. Expanding presence in emerging markets through localized solutions and technical support remains a key growth strategy. Patent-filing volumes, with 340 biological versus 89 synthetic applications, signal where competitive intensity is migrating.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Regulatory mastery differentiates leaders. Microbial facilities must comply with dual Environmental Protection Agency (EPA) and Food and Drug Administration (FDA) standards, a barrier many start-ups bypass by partnering with incumbents. In emerging markets, domestic firms exploit faster local approvals and cost advantages, prompting global companies to localize production or acquire regional competitors. Vertical integration into polymer manufacturing hedges supply risk and captures additional margin as advanced coatings gain traction across the seed treatment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Seed Treatment Industry Leaders* BASF 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Bayer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Corteva Agriscience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FMC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Syngenta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Seed Treatment Market Report ScopeFungicide, Insecticide, Nematicide are covered as segments by Function. Commercial Crops, Fruits &amp; Vegetables, Grains &amp; Cereals, Pulses &amp; Oilseeds, Turf &amp; Ornamental are covered as segments by Crop Type. Africa, Asia-Pacific, Europe, North America, South America are covered as segments by Region.FunctionFungicide | </w:t>
      </w:r>
    </w:p>
    <w:p>
      <w:pPr/>
      <w:r>
        <w:rPr>
          <w:rFonts w:ascii="Helvetica Light" w:hAnsi="Helvetica Light" w:cs="Helvetica Light"/>
          <w:sz w:val="24"/>
          <w:sz-cs w:val="24"/>
        </w:rPr>
        <w:t xml:space="preserve">Insecticide | </w:t>
      </w:r>
    </w:p>
    <w:p>
      <w:pPr/>
      <w:r>
        <w:rPr>
          <w:rFonts w:ascii="Helvetica Light" w:hAnsi="Helvetica Light" w:cs="Helvetica Light"/>
          <w:sz w:val="24"/>
          <w:sz-cs w:val="24"/>
        </w:rPr>
        <w:t xml:space="preserve">Nematicide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RegionAfrica | By Country | South Africa | </w:t>
      </w:r>
    </w:p>
    <w:p>
      <w:pPr/>
      <w:r>
        <w:rPr>
          <w:rFonts w:ascii="Helvetica Light" w:hAnsi="Helvetica Light" w:cs="Helvetica Light"/>
          <w:sz w:val="24"/>
          <w:sz-cs w:val="24"/>
        </w:rPr>
        <w:t xml:space="preserve"> | | Rest of Africa | </w:t>
      </w:r>
    </w:p>
    <w:p>
      <w:pPr/>
      <w:r>
        <w:rPr>
          <w:rFonts w:ascii="Helvetica Light" w:hAnsi="Helvetica Light" w:cs="Helvetica Light"/>
          <w:sz w:val="24"/>
          <w:sz-cs w:val="24"/>
        </w:rPr>
        <w:t xml:space="preserve">Asia-Pacific | By Country | Australia | </w:t>
      </w:r>
    </w:p>
    <w:p>
      <w:pPr/>
      <w:r>
        <w:rPr>
          <w:rFonts w:ascii="Helvetica Light" w:hAnsi="Helvetica Light" w:cs="Helvetica Light"/>
          <w:sz w:val="24"/>
          <w:sz-cs w:val="24"/>
        </w:rPr>
        <w:t xml:space="preserve"> | | China | </w:t>
      </w:r>
    </w:p>
    <w:p>
      <w:pPr/>
      <w:r>
        <w:rPr>
          <w:rFonts w:ascii="Helvetica Light" w:hAnsi="Helvetica Light" w:cs="Helvetica Light"/>
          <w:sz w:val="24"/>
          <w:sz-cs w:val="24"/>
        </w:rPr>
        <w:t xml:space="preserve"> | | India | </w:t>
      </w:r>
    </w:p>
    <w:p>
      <w:pPr/>
      <w:r>
        <w:rPr>
          <w:rFonts w:ascii="Helvetica Light" w:hAnsi="Helvetica Light" w:cs="Helvetica Light"/>
          <w:sz w:val="24"/>
          <w:sz-cs w:val="24"/>
        </w:rPr>
        <w:t xml:space="preserve"> | | Indonesia | </w:t>
      </w:r>
    </w:p>
    <w:p>
      <w:pPr/>
      <w:r>
        <w:rPr>
          <w:rFonts w:ascii="Helvetica Light" w:hAnsi="Helvetica Light" w:cs="Helvetica Light"/>
          <w:sz w:val="24"/>
          <w:sz-cs w:val="24"/>
        </w:rPr>
        <w:t xml:space="preserve"> | | Japan | </w:t>
      </w:r>
    </w:p>
    <w:p>
      <w:pPr/>
      <w:r>
        <w:rPr>
          <w:rFonts w:ascii="Helvetica Light" w:hAnsi="Helvetica Light" w:cs="Helvetica Light"/>
          <w:sz w:val="24"/>
          <w:sz-cs w:val="24"/>
        </w:rPr>
        <w:t xml:space="preserve"> | | Myanmar | </w:t>
      </w:r>
    </w:p>
    <w:p>
      <w:pPr/>
      <w:r>
        <w:rPr>
          <w:rFonts w:ascii="Helvetica Light" w:hAnsi="Helvetica Light" w:cs="Helvetica Light"/>
          <w:sz w:val="24"/>
          <w:sz-cs w:val="24"/>
        </w:rPr>
        <w:t xml:space="preserve"> | | Pakistan | </w:t>
      </w:r>
    </w:p>
    <w:p>
      <w:pPr/>
      <w:r>
        <w:rPr>
          <w:rFonts w:ascii="Helvetica Light" w:hAnsi="Helvetica Light" w:cs="Helvetica Light"/>
          <w:sz w:val="24"/>
          <w:sz-cs w:val="24"/>
        </w:rPr>
        <w:t xml:space="preserve"> | | Philippines | </w:t>
      </w:r>
    </w:p>
    <w:p>
      <w:pPr/>
      <w:r>
        <w:rPr>
          <w:rFonts w:ascii="Helvetica Light" w:hAnsi="Helvetica Light" w:cs="Helvetica Light"/>
          <w:sz w:val="24"/>
          <w:sz-cs w:val="24"/>
        </w:rPr>
        <w:t xml:space="preserve"> | | Thailand | </w:t>
      </w:r>
    </w:p>
    <w:p>
      <w:pPr/>
      <w:r>
        <w:rPr>
          <w:rFonts w:ascii="Helvetica Light" w:hAnsi="Helvetica Light" w:cs="Helvetica Light"/>
          <w:sz w:val="24"/>
          <w:sz-cs w:val="24"/>
        </w:rPr>
        <w:t xml:space="preserve"> | | Vietnam | </w:t>
      </w:r>
    </w:p>
    <w:p>
      <w:pPr/>
      <w:r>
        <w:rPr>
          <w:rFonts w:ascii="Helvetica Light" w:hAnsi="Helvetica Light" w:cs="Helvetica Light"/>
          <w:sz w:val="24"/>
          <w:sz-cs w:val="24"/>
        </w:rPr>
        <w:t xml:space="preserve"> | | Rest of Asia-Pacific | </w:t>
      </w:r>
    </w:p>
    <w:p>
      <w:pPr/>
      <w:r>
        <w:rPr>
          <w:rFonts w:ascii="Helvetica Light" w:hAnsi="Helvetica Light" w:cs="Helvetica Light"/>
          <w:sz w:val="24"/>
          <w:sz-cs w:val="24"/>
        </w:rPr>
        <w:t xml:space="preserve">Europe | By Country | France | </w:t>
      </w:r>
    </w:p>
    <w:p>
      <w:pPr/>
      <w:r>
        <w:rPr>
          <w:rFonts w:ascii="Helvetica Light" w:hAnsi="Helvetica Light" w:cs="Helvetica Light"/>
          <w:sz w:val="24"/>
          <w:sz-cs w:val="24"/>
        </w:rPr>
        <w:t xml:space="preserve"> | | Germany | </w:t>
      </w:r>
    </w:p>
    <w:p>
      <w:pPr/>
      <w:r>
        <w:rPr>
          <w:rFonts w:ascii="Helvetica Light" w:hAnsi="Helvetica Light" w:cs="Helvetica Light"/>
          <w:sz w:val="24"/>
          <w:sz-cs w:val="24"/>
        </w:rPr>
        <w:t xml:space="preserve"> | | Italy | </w:t>
      </w:r>
    </w:p>
    <w:p>
      <w:pPr/>
      <w:r>
        <w:rPr>
          <w:rFonts w:ascii="Helvetica Light" w:hAnsi="Helvetica Light" w:cs="Helvetica Light"/>
          <w:sz w:val="24"/>
          <w:sz-cs w:val="24"/>
        </w:rPr>
        <w:t xml:space="preserve"> | | Netherlands | </w:t>
      </w:r>
    </w:p>
    <w:p>
      <w:pPr/>
      <w:r>
        <w:rPr>
          <w:rFonts w:ascii="Helvetica Light" w:hAnsi="Helvetica Light" w:cs="Helvetica Light"/>
          <w:sz w:val="24"/>
          <w:sz-cs w:val="24"/>
        </w:rPr>
        <w:t xml:space="preserve"> | | Russia | </w:t>
      </w:r>
    </w:p>
    <w:p>
      <w:pPr/>
      <w:r>
        <w:rPr>
          <w:rFonts w:ascii="Helvetica Light" w:hAnsi="Helvetica Light" w:cs="Helvetica Light"/>
          <w:sz w:val="24"/>
          <w:sz-cs w:val="24"/>
        </w:rPr>
        <w:t xml:space="preserve"> | | Spain | </w:t>
      </w:r>
    </w:p>
    <w:p>
      <w:pPr/>
      <w:r>
        <w:rPr>
          <w:rFonts w:ascii="Helvetica Light" w:hAnsi="Helvetica Light" w:cs="Helvetica Light"/>
          <w:sz w:val="24"/>
          <w:sz-cs w:val="24"/>
        </w:rPr>
        <w:t xml:space="preserve"> | | Ukraine | </w:t>
      </w:r>
    </w:p>
    <w:p>
      <w:pPr/>
      <w:r>
        <w:rPr>
          <w:rFonts w:ascii="Helvetica Light" w:hAnsi="Helvetica Light" w:cs="Helvetica Light"/>
          <w:sz w:val="24"/>
          <w:sz-cs w:val="24"/>
        </w:rPr>
        <w:t xml:space="preserve"> | | United Kingdom | </w:t>
      </w:r>
    </w:p>
    <w:p>
      <w:pPr/>
      <w:r>
        <w:rPr>
          <w:rFonts w:ascii="Helvetica Light" w:hAnsi="Helvetica Light" w:cs="Helvetica Light"/>
          <w:sz w:val="24"/>
          <w:sz-cs w:val="24"/>
        </w:rPr>
        <w:t xml:space="preserve"> | | Rest of Europe | </w:t>
      </w:r>
    </w:p>
    <w:p>
      <w:pPr/>
      <w:r>
        <w:rPr>
          <w:rFonts w:ascii="Helvetica Light" w:hAnsi="Helvetica Light" w:cs="Helvetica Light"/>
          <w:sz w:val="24"/>
          <w:sz-cs w:val="24"/>
        </w:rPr>
        <w:t xml:space="preserve">North America | By Country | Canada | </w:t>
      </w:r>
    </w:p>
    <w:p>
      <w:pPr/>
      <w:r>
        <w:rPr>
          <w:rFonts w:ascii="Helvetica Light" w:hAnsi="Helvetica Light" w:cs="Helvetica Light"/>
          <w:sz w:val="24"/>
          <w:sz-cs w:val="24"/>
        </w:rPr>
        <w:t xml:space="preserve"> | | Mexico | </w:t>
      </w:r>
    </w:p>
    <w:p>
      <w:pPr/>
      <w:r>
        <w:rPr>
          <w:rFonts w:ascii="Helvetica Light" w:hAnsi="Helvetica Light" w:cs="Helvetica Light"/>
          <w:sz w:val="24"/>
          <w:sz-cs w:val="24"/>
        </w:rPr>
        <w:t xml:space="preserve"> | | United States | </w:t>
      </w:r>
    </w:p>
    <w:p>
      <w:pPr/>
      <w:r>
        <w:rPr>
          <w:rFonts w:ascii="Helvetica Light" w:hAnsi="Helvetica Light" w:cs="Helvetica Light"/>
          <w:sz w:val="24"/>
          <w:sz-cs w:val="24"/>
        </w:rPr>
        <w:t xml:space="preserve"> | | Rest of North America | </w:t>
      </w:r>
    </w:p>
    <w:p>
      <w:pPr/>
      <w:r>
        <w:rPr>
          <w:rFonts w:ascii="Helvetica Light" w:hAnsi="Helvetica Light" w:cs="Helvetica Light"/>
          <w:sz w:val="24"/>
          <w:sz-cs w:val="24"/>
        </w:rPr>
        <w:t xml:space="preserve">South America | By Country | Argentina | </w:t>
      </w:r>
    </w:p>
    <w:p>
      <w:pPr/>
      <w:r>
        <w:rPr>
          <w:rFonts w:ascii="Helvetica Light" w:hAnsi="Helvetica Light" w:cs="Helvetica Light"/>
          <w:sz w:val="24"/>
          <w:sz-cs w:val="24"/>
        </w:rPr>
        <w:t xml:space="preserve"> | | Brazil | </w:t>
      </w:r>
    </w:p>
    <w:p>
      <w:pPr/>
      <w:r>
        <w:rPr>
          <w:rFonts w:ascii="Helvetica Light" w:hAnsi="Helvetica Light" w:cs="Helvetica Light"/>
          <w:sz w:val="24"/>
          <w:sz-cs w:val="24"/>
        </w:rPr>
        <w:t xml:space="preserve"> | | Chile | </w:t>
      </w:r>
    </w:p>
    <w:p>
      <w:pPr/>
      <w:r>
        <w:rPr>
          <w:rFonts w:ascii="Helvetica Light" w:hAnsi="Helvetica Light" w:cs="Helvetica Light"/>
          <w:sz w:val="24"/>
          <w:sz-cs w:val="24"/>
        </w:rPr>
        <w:t xml:space="preserve"> | | Rest of South America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global value of the seed treatment market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It is USD 9.9 billion and is projected to climb to USD 12.18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represents the largest revenue share for Seed Treatment products?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South America accounts for 44.10% of 2025 sales, driven by intensive soybean and corn acreage.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functional segment of Seed Treatment products grows the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Insecticide treatments post the highest CAGR of 4.61% as soybean cyst and root-knot pressures rise.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companies lead global Seed Treatment sales?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Syngenta Group, Bayer AG, and BASF SE together hold about one-third of global revenue, with Syngenta on top.</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