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Smart Label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Smart, Active &amp; Intelligent Packaging (Packaging)  </w:t>
      </w:r>
    </w:p>
    <w:p>
      <w:pPr/>
      <w:r>
        <w:rPr>
          <w:rFonts w:ascii="Helvetica Light" w:hAnsi="Helvetica Light" w:cs="Helvetica Light"/>
          <w:sz w:val="24"/>
          <w:sz-cs w:val="24"/>
        </w:rPr>
        <w:t xml:space="preserve">&gt; **Source:** [https://www.mordorintelligence.com/industry-reports/smart-label-market](https://www.mordorintelligence.com/industry-reports/smart-label-market)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21.31 billion |</w:t>
      </w:r>
    </w:p>
    <w:p>
      <w:pPr/>
      <w:r>
        <w:rPr>
          <w:rFonts w:ascii="Helvetica Light" w:hAnsi="Helvetica Light" w:cs="Helvetica Light"/>
          <w:sz w:val="24"/>
          <w:sz-cs w:val="24"/>
        </w:rPr>
        <w:t xml:space="preserve">| **Projected Forecast (2031)** | USD 21.31 billion |</w:t>
      </w:r>
    </w:p>
    <w:p>
      <w:pPr/>
      <w:r>
        <w:rPr>
          <w:rFonts w:ascii="Helvetica Light" w:hAnsi="Helvetica Light" w:cs="Helvetica Light"/>
          <w:sz w:val="24"/>
          <w:sz-cs w:val="24"/>
        </w:rPr>
        <w:t xml:space="preserve">| **Growth Rate (CAGR)** | 15.93 %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Smart Label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Label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Label Market: Market Share by Technology](images/chart_4.png)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Label Market: Market Share by Application](images/chart_5.png)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Label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Label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21.31 Billion | </w:t>
      </w:r>
    </w:p>
    <w:p>
      <w:pPr/>
      <w:r>
        <w:rPr>
          <w:rFonts w:ascii="Helvetica Light" w:hAnsi="Helvetica Light" w:cs="Helvetica Light"/>
          <w:sz w:val="24"/>
          <w:sz-cs w:val="24"/>
        </w:rPr>
        <w:t xml:space="preserve">Market Size (2031) | USD 44.62 Billion | </w:t>
      </w:r>
    </w:p>
    <w:p>
      <w:pPr/>
      <w:r>
        <w:rPr>
          <w:rFonts w:ascii="Helvetica Light" w:hAnsi="Helvetica Light" w:cs="Helvetica Light"/>
          <w:sz w:val="24"/>
          <w:sz-cs w:val="24"/>
        </w:rPr>
        <w:t xml:space="preserve">Growth Rate (2026 - 2031) | 15.93 % | </w:t>
      </w:r>
    </w:p>
    <w:p>
      <w:pPr/>
      <w:r>
        <w:rPr>
          <w:rFonts w:ascii="Helvetica Light" w:hAnsi="Helvetica Light" w:cs="Helvetica Light"/>
          <w:sz w:val="24"/>
          <w:sz-cs w:val="24"/>
        </w:rPr>
        <w:t xml:space="preserve">Fastest Growing Market | Middle East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Label Market Analysis by Mordor IntelligenceThe smart label market size was valued at USD 18.38 billion in 2025 and estimated to grow from USD 21.31 billion in 2026 to reach USD 44.62 billion by 2031, at a CAGR of 15.93% during the forecast period (2026-2031). Mounting regulatory pressure, tighter anti-counterfeiting rules, and omnichannel retail strategies are driving enterprises to switch from passive barcodes to connected labels that can capture, store, and transmit data in real time. New European environmental rules are accelerating rollouts because every consumer product sold in the bloc must carry a digital product passport by 2028, while U.S. pharmaceutical serialization deadlines have prompted a race to tag every saleable unit before 2027. The sharp fall in inlay prices, the arrival of battery-free sensor designs, and the rapid scaling of cloud-based middleware have lowered adoption barriers, enabling mid-tier retailers and logistics providers to deploy item-level tracking without overhauling legacy IT stacks. Meanwhile, advances in component miniaturization and energy harvesting are widening the technology’s reach beyond inventory management into cold-chain monitoring, dynamic pricing, and brand engagement.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radio-frequency identification led with 67.33% of smart label market share in 2025, while near-field communication is projected to grow at a 17.19% CAGR through 2031.</w:t>
      </w:r>
    </w:p>
    <w:p>
      <w:pPr/>
      <w:r>
        <w:rPr>
          <w:rFonts w:ascii="Helvetica Light" w:hAnsi="Helvetica Light" w:cs="Helvetica Light"/>
          <w:sz w:val="24"/>
          <w:sz-cs w:val="24"/>
        </w:rPr>
        <w:t xml:space="preserve">* By end-user industry, retail captured a 34.83% share in 2025, whereas healthcare and pharmaceuticals are forecast to advance at a 17.14% CAGR to 2031.</w:t>
      </w:r>
    </w:p>
    <w:p>
      <w:pPr/>
      <w:r>
        <w:rPr>
          <w:rFonts w:ascii="Helvetica Light" w:hAnsi="Helvetica Light" w:cs="Helvetica Light"/>
          <w:sz w:val="24"/>
          <w:sz-cs w:val="24"/>
        </w:rPr>
        <w:t xml:space="preserve">* By component, micro-controllers and integrated circuits accounted for 28.74% of the smart label market size in 2025, and sensors are poised to expand at a 17.11% CAGR between 2026-2031.</w:t>
      </w:r>
    </w:p>
    <w:p>
      <w:pPr/>
      <w:r>
        <w:rPr>
          <w:rFonts w:ascii="Helvetica Light" w:hAnsi="Helvetica Light" w:cs="Helvetica Light"/>
          <w:sz w:val="24"/>
          <w:sz-cs w:val="24"/>
        </w:rPr>
        <w:t xml:space="preserve">* By application, asset and inventory tracking accounted for 42.57% of revenue in 2025, while cold-chain monitoring is projected to record a 17.23% CAGR during the forecast period.</w:t>
      </w:r>
    </w:p>
    <w:p>
      <w:pPr/>
      <w:r>
        <w:rPr>
          <w:rFonts w:ascii="Helvetica Light" w:hAnsi="Helvetica Light" w:cs="Helvetica Light"/>
          <w:sz w:val="24"/>
          <w:sz-cs w:val="24"/>
        </w:rPr>
        <w:t xml:space="preserve">* By label form factor, wet-inlay and sticker labels commanded 47.32% revenue share in 2025, whereas printable flexible sensor labels are expected to rise at a 16.94% CAGR through 2031.</w:t>
      </w:r>
    </w:p>
    <w:p>
      <w:pPr/>
      <w:r>
        <w:rPr>
          <w:rFonts w:ascii="Helvetica Light" w:hAnsi="Helvetica Light" w:cs="Helvetica Light"/>
          <w:sz w:val="24"/>
          <w:sz-cs w:val="24"/>
        </w:rPr>
        <w:t xml:space="preserve">* By geography, Asia-Pacific accounted for 38.29% of global revenue in 2025, and the Middle East is anticipated to post the fastest CAGR of 16.91%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Smart Label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RFID Adoption for Inventory Visibility | +3.2% | Global, with concentration in North America, Europe, and Asia-Pacific retail hubs | Medium term (2-4 years) | </w:t>
      </w:r>
    </w:p>
    <w:p>
      <w:pPr/>
      <w:r>
        <w:rPr>
          <w:rFonts w:ascii="Helvetica Light" w:hAnsi="Helvetica Light" w:cs="Helvetica Light"/>
          <w:sz w:val="24"/>
          <w:sz-cs w:val="24"/>
        </w:rPr>
        <w:t xml:space="preserve">Rising Demand for Anti-Counterfeiting in Pharma Supply Chains | +2.8% | Global, strongest in North America and Europe due to FDA and EU FMD enforcement | Short term (≤ 2 years) | </w:t>
      </w:r>
    </w:p>
    <w:p>
      <w:pPr/>
      <w:r>
        <w:rPr>
          <w:rFonts w:ascii="Helvetica Light" w:hAnsi="Helvetica Light" w:cs="Helvetica Light"/>
          <w:sz w:val="24"/>
          <w:sz-cs w:val="24"/>
        </w:rPr>
        <w:t xml:space="preserve">Expansion of Omnichannel Retail Requiring Real-Time Pricing | +2.5% | North America and Europe, with emerging adoption in Asia-Pacific urban centers | Medium term (2-4 years) | </w:t>
      </w:r>
    </w:p>
    <w:p>
      <w:pPr/>
      <w:r>
        <w:rPr>
          <w:rFonts w:ascii="Helvetica Light" w:hAnsi="Helvetica Light" w:cs="Helvetica Light"/>
          <w:sz w:val="24"/>
          <w:sz-cs w:val="24"/>
        </w:rPr>
        <w:t xml:space="preserve">Increasing Penetration of IoT-Enabled Logistics | +2.3% | Global, with early gains in Middle East logistics corridors and Asia-Pacific manufacturing zones | Long term (≥ 4 years) | </w:t>
      </w:r>
    </w:p>
    <w:p>
      <w:pPr/>
      <w:r>
        <w:rPr>
          <w:rFonts w:ascii="Helvetica Light" w:hAnsi="Helvetica Light" w:cs="Helvetica Light"/>
          <w:sz w:val="24"/>
          <w:sz-cs w:val="24"/>
        </w:rPr>
        <w:t xml:space="preserve">Emergence of Printed Battery-Free Sensor Labels for Cold-Chain Integrity | +2.0% | Europe and Asia-Pacific, driven by pharmaceutical and fresh-food distribution | Long term (≥ 4 years) | </w:t>
      </w:r>
    </w:p>
    <w:p>
      <w:pPr/>
      <w:r>
        <w:rPr>
          <w:rFonts w:ascii="Helvetica Light" w:hAnsi="Helvetica Light" w:cs="Helvetica Light"/>
          <w:sz w:val="24"/>
          <w:sz-cs w:val="24"/>
        </w:rPr>
        <w:t xml:space="preserve">EU ESG Packaging Mandates (PPWR 2026) Accelerating Smart-Label Integration | +2.7% | Europe, with spillover influence on multinational brands operating globally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field is moderately fragmented, with the five largest suppliers accounting for roughly 35-40% of revenue, leaving room for regional specialists and printed-electronics startups. Avery Dennison and CCL Industries now produce RFID inlays in-house, compressing material cost and delivering pre-encoded labels that shorten lead times for retailers racing toward compliance. Stora Enso promotes fiber substrates with integrated electronics to meet recyclability mandates, while label converters in China and Vietnam scale capacity but still rely on imported chips that create perceived supply-risk premiums.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Chip vendors wield outsized influence because silicon availability dictates shipment dates for every downstream player. NXP shipped its two-billionth UCODE 9 in October 2025 and prioritizes automotive and industrial orders during allocation peaks, compelling retail converters to secure inventory months ahead. Impinj’s new M800 family offers a 30-meter passive read range and AES-128 encryption, expanding secure tracking without adding battery overhead. Patent applications in ultra-high-frequency RFID rose 18% in 2025, largely targeting tamper-detection circuits demanded by pharmaceutical regulations.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Electronic shelf label specialists SES-imagotag and Pricer have embedded NFC and Bluetooth radios to turn price displays into two-way engagement nodes, while price pressure from new Chinese entrants drives established vendors toward software-as-a-service analytics that justify premium subscriptions. Thinfilm and Roambee champion battery-free sensor labels that slash five-year ownership costs by around 40%, appealing to brands focused on sustainability metrics. Zebra Technologies deepened its analytics stack by buying a minority stake in a European middleware firm, signaling a broader pivot from hardware margin to recurring revenue. These moves gradually raise entry barriers, yet the market still rewards innovation over scale, keeping competitive intensity high.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Label Industry Leaders* Avery Dennison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CCL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Zebra Technologies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Alien Technology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smart label market covers labels and tags that can store and share data digitally, typically through RFID, NFC, EAS, sensing functions, or electronic shelf label (ESL) formats, when they are sold for tracking, security, authentication, or condition monitoring use cases.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ordinary printed labels and barcodes that do not have a smart function, along with aftermarket software-only services that are not bundled or sold with smart label deployments.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RFID</w:t>
      </w:r>
    </w:p>
    <w:p>
      <w:pPr/>
      <w:r>
        <w:rPr>
          <w:rFonts w:ascii="Helvetica Light" w:hAnsi="Helvetica Light" w:cs="Helvetica Light"/>
          <w:sz w:val="24"/>
          <w:sz-cs w:val="24"/>
        </w:rPr>
        <w:t xml:space="preserve">* Electronic Article Surveillance</w:t>
      </w:r>
    </w:p>
    <w:p>
      <w:pPr/>
      <w:r>
        <w:rPr>
          <w:rFonts w:ascii="Helvetica Light" w:hAnsi="Helvetica Light" w:cs="Helvetica Light"/>
          <w:sz w:val="24"/>
          <w:sz-cs w:val="24"/>
        </w:rPr>
        <w:t xml:space="preserve">* Near Field Communication</w:t>
      </w:r>
    </w:p>
    <w:p>
      <w:pPr/>
      <w:r>
        <w:rPr>
          <w:rFonts w:ascii="Helvetica Light" w:hAnsi="Helvetica Light" w:cs="Helvetica Light"/>
          <w:sz w:val="24"/>
          <w:sz-cs w:val="24"/>
        </w:rPr>
        <w:t xml:space="preserve">* Sensing Labels</w:t>
      </w:r>
    </w:p>
    <w:p>
      <w:pPr/>
      <w:r>
        <w:rPr>
          <w:rFonts w:ascii="Helvetica Light" w:hAnsi="Helvetica Light" w:cs="Helvetica Light"/>
          <w:sz w:val="24"/>
          <w:sz-cs w:val="24"/>
        </w:rPr>
        <w:t xml:space="preserve">* Electronic Shelf Label</w:t>
      </w:r>
    </w:p>
    <w:p>
      <w:pPr/>
      <w:r>
        <w:rPr>
          <w:rFonts w:ascii="Helvetica Light" w:hAnsi="Helvetica Light" w:cs="Helvetica Light"/>
          <w:sz w:val="24"/>
          <w:sz-cs w:val="24"/>
        </w:rPr>
        <w:t xml:space="preserve">* Other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Retail</w:t>
      </w:r>
    </w:p>
    <w:p>
      <w:pPr/>
      <w:r>
        <w:rPr>
          <w:rFonts w:ascii="Helvetica Light" w:hAnsi="Helvetica Light" w:cs="Helvetica Light"/>
          <w:sz w:val="24"/>
          <w:sz-cs w:val="24"/>
        </w:rPr>
        <w:t xml:space="preserve">* Healthcare and Pharmaceuticals</w:t>
      </w:r>
    </w:p>
    <w:p>
      <w:pPr/>
      <w:r>
        <w:rPr>
          <w:rFonts w:ascii="Helvetica Light" w:hAnsi="Helvetica Light" w:cs="Helvetica Light"/>
          <w:sz w:val="24"/>
          <w:sz-cs w:val="24"/>
        </w:rPr>
        <w:t xml:space="preserve">* Logistics and Transportation</w:t>
      </w:r>
    </w:p>
    <w:p>
      <w:pPr/>
      <w:r>
        <w:rPr>
          <w:rFonts w:ascii="Helvetica Light" w:hAnsi="Helvetica Light" w:cs="Helvetica Light"/>
          <w:sz w:val="24"/>
          <w:sz-cs w:val="24"/>
        </w:rPr>
        <w:t xml:space="preserve">* Manufacturing and Industrial</w:t>
      </w:r>
    </w:p>
    <w:p>
      <w:pPr/>
      <w:r>
        <w:rPr>
          <w:rFonts w:ascii="Helvetica Light" w:hAnsi="Helvetica Light" w:cs="Helvetica Light"/>
          <w:sz w:val="24"/>
          <w:sz-cs w:val="24"/>
        </w:rPr>
        <w:t xml:space="preserve">* Food and Beverage</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Micro-Controllers / ICs</w:t>
      </w:r>
    </w:p>
    <w:p>
      <w:pPr/>
      <w:r>
        <w:rPr>
          <w:rFonts w:ascii="Helvetica Light" w:hAnsi="Helvetica Light" w:cs="Helvetica Light"/>
          <w:sz w:val="24"/>
          <w:sz-cs w:val="24"/>
        </w:rPr>
        <w:t xml:space="preserve">* Batteries and Power Units</w:t>
      </w:r>
    </w:p>
    <w:p>
      <w:pPr/>
      <w:r>
        <w:rPr>
          <w:rFonts w:ascii="Helvetica Light" w:hAnsi="Helvetica Light" w:cs="Helvetica Light"/>
          <w:sz w:val="24"/>
          <w:sz-cs w:val="24"/>
        </w:rPr>
        <w:t xml:space="preserve">* Antennas and Transceivers</w:t>
      </w:r>
    </w:p>
    <w:p>
      <w:pPr/>
      <w:r>
        <w:rPr>
          <w:rFonts w:ascii="Helvetica Light" w:hAnsi="Helvetica Light" w:cs="Helvetica Light"/>
          <w:sz w:val="24"/>
          <w:sz-cs w:val="24"/>
        </w:rPr>
        <w:t xml:space="preserve">* Sensors</w:t>
      </w:r>
    </w:p>
    <w:p>
      <w:pPr/>
      <w:r>
        <w:rPr>
          <w:rFonts w:ascii="Helvetica Light" w:hAnsi="Helvetica Light" w:cs="Helvetica Light"/>
          <w:sz w:val="24"/>
          <w:sz-cs w:val="24"/>
        </w:rPr>
        <w:t xml:space="preserve">* Software and Middleware</w:t>
      </w:r>
    </w:p>
    <w:p>
      <w:pPr/>
      <w:r>
        <w:rPr>
          <w:rFonts w:ascii="Helvetica Light" w:hAnsi="Helvetica Light" w:cs="Helvetica Light"/>
          <w:sz w:val="24"/>
          <w:sz-cs w:val="24"/>
        </w:rPr>
        <w:t xml:space="preserve">* Substrate and Protective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Asset and Inventory Tracking</w:t>
      </w:r>
    </w:p>
    <w:p>
      <w:pPr/>
      <w:r>
        <w:rPr>
          <w:rFonts w:ascii="Helvetica Light" w:hAnsi="Helvetica Light" w:cs="Helvetica Light"/>
          <w:sz w:val="24"/>
          <w:sz-cs w:val="24"/>
        </w:rPr>
        <w:t xml:space="preserve">* Anti-Theft and Security</w:t>
      </w:r>
    </w:p>
    <w:p>
      <w:pPr/>
      <w:r>
        <w:rPr>
          <w:rFonts w:ascii="Helvetica Light" w:hAnsi="Helvetica Light" w:cs="Helvetica Light"/>
          <w:sz w:val="24"/>
          <w:sz-cs w:val="24"/>
        </w:rPr>
        <w:t xml:space="preserve">* Cold-Chain Monitoring</w:t>
      </w:r>
    </w:p>
    <w:p>
      <w:pPr/>
      <w:r>
        <w:rPr>
          <w:rFonts w:ascii="Helvetica Light" w:hAnsi="Helvetica Light" w:cs="Helvetica Light"/>
          <w:sz w:val="24"/>
          <w:sz-cs w:val="24"/>
        </w:rPr>
        <w:t xml:space="preserve">* Dynamic Pricing and Promotion</w:t>
      </w:r>
    </w:p>
    <w:p>
      <w:pPr/>
      <w:r>
        <w:rPr>
          <w:rFonts w:ascii="Helvetica Light" w:hAnsi="Helvetica Light" w:cs="Helvetica Light"/>
          <w:sz w:val="24"/>
          <w:sz-cs w:val="24"/>
        </w:rPr>
        <w:t xml:space="preserve">* Brand Authentication and Consumer Engagement</w:t>
      </w:r>
    </w:p>
    <w:p>
      <w:pPr/>
      <w:r>
        <w:rPr>
          <w:rFonts w:ascii="Helvetica Light" w:hAnsi="Helvetica Light" w:cs="Helvetica Light"/>
          <w:sz w:val="24"/>
          <w:sz-cs w:val="24"/>
        </w:rPr>
        <w:t xml:space="preserve">* Work-in-Process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Label Form Factor* Wet-Inlay / Sticker Labels</w:t>
      </w:r>
    </w:p>
    <w:p>
      <w:pPr/>
      <w:r>
        <w:rPr>
          <w:rFonts w:ascii="Helvetica Light" w:hAnsi="Helvetica Light" w:cs="Helvetica Light"/>
          <w:sz w:val="24"/>
          <w:sz-cs w:val="24"/>
        </w:rPr>
        <w:t xml:space="preserve">* Hang Tags</w:t>
      </w:r>
    </w:p>
    <w:p>
      <w:pPr/>
      <w:r>
        <w:rPr>
          <w:rFonts w:ascii="Helvetica Light" w:hAnsi="Helvetica Light" w:cs="Helvetica Light"/>
          <w:sz w:val="24"/>
          <w:sz-cs w:val="24"/>
        </w:rPr>
        <w:t xml:space="preserve">* In-Mold Labels</w:t>
      </w:r>
    </w:p>
    <w:p>
      <w:pPr/>
      <w:r>
        <w:rPr>
          <w:rFonts w:ascii="Helvetica Light" w:hAnsi="Helvetica Light" w:cs="Helvetica Light"/>
          <w:sz w:val="24"/>
          <w:sz-cs w:val="24"/>
        </w:rPr>
        <w:t xml:space="preserve">* Textile and Apparel Labels</w:t>
      </w:r>
    </w:p>
    <w:p>
      <w:pPr/>
      <w:r>
        <w:rPr>
          <w:rFonts w:ascii="Helvetica Light" w:hAnsi="Helvetica Light" w:cs="Helvetica Light"/>
          <w:sz w:val="24"/>
          <w:sz-cs w:val="24"/>
        </w:rPr>
        <w:t xml:space="preserve">* Printable Flexible Sensor Labels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smart label market expected to expand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grow at a 15.93% CAGR, rising from USD 21.31 billion in 2026 to USD 44.62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will see the quickest rise in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Near-field communication is forecast to advance at a 17.19% CAGR as retailers leverage tap-to-authenticate features on 1.4 billion NFC-enabled smartphones.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healthcare emerging as the fastest-growing end-user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Unit-level serialization deadlines under U.S. DSCSA and EU FMD require every pharmaceutical package to carry a secure digital identifier, driving a 17.14% CAGR in healthcare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cost barrier for small 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Upfront hardware and integration costs of USD 50,000–150,000 per store, even after tag prices have dropped, remain prohibitive for independents operating on thin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likely to post the highest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supported by Saudi Vision 2030 logistics programs and UAE cold-chain digitization, is projected to achieve a 16.91%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printed, battery-free sensor labels changing cold-chain monitoring?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harvesting ambient RF energy, they eliminate coin-cell replacements and lower five-year ownership costs by around 40%, making continuous temperature logging viable at scale.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