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Spacecraft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[https://www.mordorintelligence.com/industry-reports/spacecraft-market](https://www.mordorintelligence.com/industry-reports/spacecraft-market)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49.62 billion |</w:t>
      </w:r>
    </w:p>
    <w:p>
      <w:pPr/>
      <w:r>
        <w:rPr>
          <w:rFonts w:ascii="Helvetica Light" w:hAnsi="Helvetica Light" w:cs="Helvetica Light"/>
          <w:sz w:val="24"/>
          <w:sz-cs w:val="24"/>
        </w:rPr>
        <w:t xml:space="preserve">| **Projected Forecast (2031)** | USD 49.62 billion |</w:t>
      </w:r>
    </w:p>
    <w:p>
      <w:pPr/>
      <w:r>
        <w:rPr>
          <w:rFonts w:ascii="Helvetica Light" w:hAnsi="Helvetica Light" w:cs="Helvetica Light"/>
          <w:sz w:val="24"/>
          <w:sz-cs w:val="24"/>
        </w:rPr>
        <w:t xml:space="preserve">| **Growth Rate (CAGR)** | 9.67 %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Spacecraft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Share by Orbit,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49.62 Billion | </w:t>
      </w:r>
    </w:p>
    <w:p>
      <w:pPr/>
      <w:r>
        <w:rPr>
          <w:rFonts w:ascii="Helvetica Light" w:hAnsi="Helvetica Light" w:cs="Helvetica Light"/>
          <w:sz w:val="24"/>
          <w:sz-cs w:val="24"/>
        </w:rPr>
        <w:t xml:space="preserve">Market Size (2031) | USD 78.73 Billion | </w:t>
      </w:r>
    </w:p>
    <w:p>
      <w:pPr/>
      <w:r>
        <w:rPr>
          <w:rFonts w:ascii="Helvetica Light" w:hAnsi="Helvetica Light" w:cs="Helvetica Light"/>
          <w:sz w:val="24"/>
          <w:sz-cs w:val="24"/>
        </w:rPr>
        <w:t xml:space="preserve">Growth Rate (2026 - 2031) | 9.67 %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Market Analysis by Mordor IntelligenceThe spacecraft market size is expected to grow from USD 44.66 billion in 2025 to USD 49.62 billion in 2026 and is forecast to reach USD 78.73 billion by 2031 at a 9.67% CAGR over 2026-2031. Growth reflects a decisive pivot from fully government-funded missions to hybrid procurement models that blend defense, civil, and commercial demand. Nations are proliferating small satellites to build resilient intelligence networks, private operators are fielding broadband mega-constellations at automotive-style production rates, and lunar logistics programs are opening recurring cargo opportunities. Tightening de-orbit rules, additive manufacturing breakthroughs, and rising reliance on commercial-off-the-shelf (COTS) electronics are further compressing development cycles and cost curves. Meanwhile, launch-site congestion and space debris mitigation costs temper the expansion, but do not blunt the long-term trajectory of the spacecraft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satellites accounted for 76.78% of the 2025 revenue. In contrast, cargo vehicles are forecast to grow at a 10.12% CAGR through 2031 as NASA’s Commercial Lunar Payload Services and private space-station resupply schedules ramp up.</w:t>
      </w:r>
    </w:p>
    <w:p>
      <w:pPr/>
      <w:r>
        <w:rPr>
          <w:rFonts w:ascii="Helvetica Light" w:hAnsi="Helvetica Light" w:cs="Helvetica Light"/>
          <w:sz w:val="24"/>
          <w:sz-cs w:val="24"/>
        </w:rPr>
        <w:t xml:space="preserve">* By application, communication held a 42.24% share of the spacecraft market size in 2025, while technology-demonstration missions are projected to grow at a 10.32% CAGR through 2031, driven by in-orbit servicing and debris-removal pilots.</w:t>
      </w:r>
    </w:p>
    <w:p>
      <w:pPr/>
      <w:r>
        <w:rPr>
          <w:rFonts w:ascii="Helvetica Light" w:hAnsi="Helvetica Light" w:cs="Helvetica Light"/>
          <w:sz w:val="24"/>
          <w:sz-cs w:val="24"/>
        </w:rPr>
        <w:t xml:space="preserve">* By orbit, Low Earth Orbit (LEO) accounted for 63.97% of 2025 deployments, but the “Others” category (beyond GEO, cislunar, highly elliptical, and interplanetary) is forecast to grow at a 10.75% CAGR to 2031, supported by Artemis Gateway modules and Mars sample-return probes.</w:t>
      </w:r>
    </w:p>
    <w:p>
      <w:pPr/>
      <w:r>
        <w:rPr>
          <w:rFonts w:ascii="Helvetica Light" w:hAnsi="Helvetica Light" w:cs="Helvetica Light"/>
          <w:sz w:val="24"/>
          <w:sz-cs w:val="24"/>
        </w:rPr>
        <w:t xml:space="preserve">* By subsystem, payloads commanded 31.54% of the 2025 value. Yet, propulsion is projected to grow at a 10.44% CAGR as electric systems become standard for both LEO raising and mandated five-year de-orbit compliance.</w:t>
      </w:r>
    </w:p>
    <w:p>
      <w:pPr/>
      <w:r>
        <w:rPr>
          <w:rFonts w:ascii="Helvetica Light" w:hAnsi="Helvetica Light" w:cs="Helvetica Light"/>
          <w:sz w:val="24"/>
          <w:sz-cs w:val="24"/>
        </w:rPr>
        <w:t xml:space="preserve">* By geography, North America led with 47.89% of 2025 revenue, anchored by USD 2.7 billion in Orion capsule orders and USD 3.19 billion in Space Launch System boosters, while Asia-Pacific is forecast to grow at an 11.25% CAGR through 2031 on the back of Chinese, Indian, and Japanese deep-space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Spacecraft Market*Driver | (~) % Impact on CAGR Forecast | Geographic Relevance | Impact Timeline | </w:t>
      </w:r>
    </w:p>
    <w:p>
      <w:pPr/>
      <w:r>
        <w:rPr>
          <w:rFonts w:ascii="Helvetica Light" w:hAnsi="Helvetica Light" w:cs="Helvetica Light"/>
          <w:sz w:val="24"/>
          <w:sz-cs w:val="24"/>
        </w:rPr>
        <w:t xml:space="preserve">Adoption of commercial-off-the-shelf electronics is accelerating spacecraft development | +1.8% | Global, early in North America and Europe | Medium term (2-4 years) | </w:t>
      </w:r>
    </w:p>
    <w:p>
      <w:pPr/>
      <w:r>
        <w:rPr>
          <w:rFonts w:ascii="Helvetica Light" w:hAnsi="Helvetica Light" w:cs="Helvetica Light"/>
          <w:sz w:val="24"/>
          <w:sz-cs w:val="24"/>
        </w:rPr>
        <w:t xml:space="preserve">Growth of broadband satellite constellations is increasing spacecraft manufacturing demand | +2.4% | Global, concentrated in North America, Europe, Asia-Pacific | Short term (≤2 years) | </w:t>
      </w:r>
    </w:p>
    <w:p>
      <w:pPr/>
      <w:r>
        <w:rPr>
          <w:rFonts w:ascii="Helvetica Light" w:hAnsi="Helvetica Light" w:cs="Helvetica Light"/>
          <w:sz w:val="24"/>
          <w:sz-cs w:val="24"/>
        </w:rPr>
        <w:t xml:space="preserve">Government lunar and Mars exploration programs are driving advanced spacecraft procurement | +1.6% | North America, Europe, Asia-Pacific | Long term (≥4 years) | </w:t>
      </w:r>
    </w:p>
    <w:p>
      <w:pPr/>
      <w:r>
        <w:rPr>
          <w:rFonts w:ascii="Helvetica Light" w:hAnsi="Helvetica Light" w:cs="Helvetica Light"/>
          <w:sz w:val="24"/>
          <w:sz-cs w:val="24"/>
        </w:rPr>
        <w:t xml:space="preserve">Rising defense ISR requirements are expanding small satellite deployments | +1.5% | North America, Europe, Middle East, Asia-Pacific | Medium term (2-4 years) | </w:t>
      </w:r>
    </w:p>
    <w:p>
      <w:pPr/>
      <w:r>
        <w:rPr>
          <w:rFonts w:ascii="Helvetica Light" w:hAnsi="Helvetica Light" w:cs="Helvetica Light"/>
          <w:sz w:val="24"/>
          <w:sz-cs w:val="24"/>
        </w:rPr>
        <w:t xml:space="preserve">In-orbit servicing and life-extension concepts are creating new spacecraft demand | +1.2% | Global, early in North America and Europe | Long term (≥4 years) | </w:t>
      </w:r>
    </w:p>
    <w:p>
      <w:pPr/>
      <w:r>
        <w:rPr>
          <w:rFonts w:ascii="Helvetica Light" w:hAnsi="Helvetica Light" w:cs="Helvetica Light"/>
          <w:sz w:val="24"/>
          <w:sz-cs w:val="24"/>
        </w:rPr>
        <w:t xml:space="preserve">Additive manufacturing is enabling scalable and cost-efficient spacecraft production | +1.4% | North America, Europe, spillover to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Prime contractors show moderate consolidation, with Space Exploration Technologies Corp., Lockheed Martin Corporation, Airbus SE, and China Aerospace Science and Technology Corporation vertically integrating propulsion, avionics, and final assembly lines. NASA’s dual awards to Starship and Blue Origin for lunar landers demonstrate intent to keep at least two providers in every critical lane. SpaceX’s cradle-to-orbit model captures margin across the launch, satellite, and ground-station domains, intensifying price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entrants, such as Rocket Lab, Relativity Space, and Sierra Space, differentiate themselves through additive manufacturing, rapid cadence micro-launches, and winged re-entry cargo capabilities. Electric propulsion specialists (Aerojet Rocketdyne, Busek), optical-link innovators, and deployable solar-array suppliers fragment the subsystem layer, encouraging niche excellence. Patent filings in autonomous rendezvous, mesh networking, and deployable structures climbed 30% from 2022 to 2025, signaling sustained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growth pivots on in-orbit servicing, debris removal, and cislunar trucking. Astroscale’s ELSA-M targets FCC-mandated disposal burdens; Orbit Fab’s hydrazine depots extend GEO satellite life; and Intuitive Machines pitches lunar cargo flights. These emergent verticals should widen participation and gradually lower the spacecraft market concentration score.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Industry Leaders*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Aerospace Science and Technology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spacecraft market is defined as the value generated from designing and manufacturing complete spacecraft platforms and their major on-board systems that operate beyond Earth's atmosphere for commercial, civil, and defense 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launch services, ground stations, satellite connectivity service revenue, and downstream data or analytics services that sit outside spacecraft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Satellites</w:t>
      </w:r>
    </w:p>
    <w:p>
      <w:pPr/>
      <w:r>
        <w:rPr>
          <w:rFonts w:ascii="Helvetica Light" w:hAnsi="Helvetica Light" w:cs="Helvetica Light"/>
          <w:sz w:val="24"/>
          <w:sz-cs w:val="24"/>
        </w:rPr>
        <w:t xml:space="preserve">* Cargo Spacecraft</w:t>
      </w:r>
    </w:p>
    <w:p>
      <w:pPr/>
      <w:r>
        <w:rPr>
          <w:rFonts w:ascii="Helvetica Light" w:hAnsi="Helvetica Light" w:cs="Helvetica Light"/>
          <w:sz w:val="24"/>
          <w:sz-cs w:val="24"/>
        </w:rPr>
        <w:t xml:space="preserve">* Crewed Spacecraft</w:t>
      </w:r>
    </w:p>
    <w:p>
      <w:pPr/>
      <w:r>
        <w:rPr>
          <w:rFonts w:ascii="Helvetica Light" w:hAnsi="Helvetica Light" w:cs="Helvetica Light"/>
          <w:sz w:val="24"/>
          <w:sz-cs w:val="24"/>
        </w:rPr>
        <w:t xml:space="preserve">* Deep-Space Probes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Communication</w:t>
      </w:r>
    </w:p>
    <w:p>
      <w:pPr/>
      <w:r>
        <w:rPr>
          <w:rFonts w:ascii="Helvetica Light" w:hAnsi="Helvetica Light" w:cs="Helvetica Light"/>
          <w:sz w:val="24"/>
          <w:sz-cs w:val="24"/>
        </w:rPr>
        <w:t xml:space="preserve">* Earth Observation</w:t>
      </w:r>
    </w:p>
    <w:p>
      <w:pPr/>
      <w:r>
        <w:rPr>
          <w:rFonts w:ascii="Helvetica Light" w:hAnsi="Helvetica Light" w:cs="Helvetica Light"/>
          <w:sz w:val="24"/>
          <w:sz-cs w:val="24"/>
        </w:rPr>
        <w:t xml:space="preserve">* Navigation and Mapping</w:t>
      </w:r>
    </w:p>
    <w:p>
      <w:pPr/>
      <w:r>
        <w:rPr>
          <w:rFonts w:ascii="Helvetica Light" w:hAnsi="Helvetica Light" w:cs="Helvetica Light"/>
          <w:sz w:val="24"/>
          <w:sz-cs w:val="24"/>
        </w:rPr>
        <w:t xml:space="preserve">* Science and Exploration</w:t>
      </w:r>
    </w:p>
    <w:p>
      <w:pPr/>
      <w:r>
        <w:rPr>
          <w:rFonts w:ascii="Helvetica Light" w:hAnsi="Helvetica Light" w:cs="Helvetica Light"/>
          <w:sz w:val="24"/>
          <w:sz-cs w:val="24"/>
        </w:rPr>
        <w:t xml:space="preserve">* Technology Demonstration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Orbit* Low Earth Orbit (LEO)</w:t>
      </w:r>
    </w:p>
    <w:p>
      <w:pPr/>
      <w:r>
        <w:rPr>
          <w:rFonts w:ascii="Helvetica Light" w:hAnsi="Helvetica Light" w:cs="Helvetica Light"/>
          <w:sz w:val="24"/>
          <w:sz-cs w:val="24"/>
        </w:rPr>
        <w:t xml:space="preserve">* Medium Earth Orbit (MEO)</w:t>
      </w:r>
    </w:p>
    <w:p>
      <w:pPr/>
      <w:r>
        <w:rPr>
          <w:rFonts w:ascii="Helvetica Light" w:hAnsi="Helvetica Light" w:cs="Helvetica Light"/>
          <w:sz w:val="24"/>
          <w:sz-cs w:val="24"/>
        </w:rPr>
        <w:t xml:space="preserve">* Geostationary Orbit (GEO)</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Subsystem* Propulsion Systems</w:t>
      </w:r>
    </w:p>
    <w:p>
      <w:pPr/>
      <w:r>
        <w:rPr>
          <w:rFonts w:ascii="Helvetica Light" w:hAnsi="Helvetica Light" w:cs="Helvetica Light"/>
          <w:sz w:val="24"/>
          <w:sz-cs w:val="24"/>
        </w:rPr>
        <w:t xml:space="preserve">* Power Systems</w:t>
      </w:r>
    </w:p>
    <w:p>
      <w:pPr/>
      <w:r>
        <w:rPr>
          <w:rFonts w:ascii="Helvetica Light" w:hAnsi="Helvetica Light" w:cs="Helvetica Light"/>
          <w:sz w:val="24"/>
          <w:sz-cs w:val="24"/>
        </w:rPr>
        <w:t xml:space="preserve">* Communication Systems</w:t>
      </w:r>
    </w:p>
    <w:p>
      <w:pPr/>
      <w:r>
        <w:rPr>
          <w:rFonts w:ascii="Helvetica Light" w:hAnsi="Helvetica Light" w:cs="Helvetica Light"/>
          <w:sz w:val="24"/>
          <w:sz-cs w:val="24"/>
        </w:rPr>
        <w:t xml:space="preserve">* Thermal Control Systems</w:t>
      </w:r>
    </w:p>
    <w:p>
      <w:pPr/>
      <w:r>
        <w:rPr>
          <w:rFonts w:ascii="Helvetica Light" w:hAnsi="Helvetica Light" w:cs="Helvetica Light"/>
          <w:sz w:val="24"/>
          <w:sz-cs w:val="24"/>
        </w:rPr>
        <w:t xml:space="preserve">* Guidance and Navigation Systems</w:t>
      </w:r>
    </w:p>
    <w:p>
      <w:pPr/>
      <w:r>
        <w:rPr>
          <w:rFonts w:ascii="Helvetica Light" w:hAnsi="Helvetica Light" w:cs="Helvetica Light"/>
          <w:sz w:val="24"/>
          <w:sz-cs w:val="24"/>
        </w:rPr>
        <w:t xml:space="preserve">* Payloads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spacecraft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spacecraft market size reached USD 49.62 billion in 2026 and is forecasted to climb to USD 78.73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CAGR is projected for spacecraft sales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spacecraft market is expected to expand at a 9.67% CAGR over the 2026-2031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spacecraft type shows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Cargo vehicles lead with a projected 10.12% CAGR as lunar and commercial-station logistics missions multiply.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spacecraft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 advancing at an 11.25% CAGR through 2031 on the back of Chinese, Indian, and Japanese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restraint facing new spacecraft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Launch-site congestion and rising space-debris risks are causing schedule delays and higher insurance costs affecting the market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subsystem is forecast to grow the most?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Propulsion leads subsystem growth at a 10.44% CAGR, driven by orbit-raising efficiency and de-orbit mandates.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