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Special Interest Tourism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Specialty, Niche &amp; Experience Tourism (Hospitality &amp; Tourism)  </w:t>
      </w:r>
    </w:p>
    <w:p>
      <w:pPr/>
      <w:r>
        <w:rPr>
          <w:rFonts w:ascii="Helvetica Light" w:hAnsi="Helvetica Light" w:cs="Helvetica Light"/>
          <w:sz w:val="24"/>
          <w:sz-cs w:val="24"/>
        </w:rPr>
        <w:t xml:space="preserve">&gt; **Source:** [https://www.mordorintelligence.com/industry-reports/special-interest-tourism-market](https://www.mordorintelligence.com/industry-reports/special-interest-tourism-market)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1.63 trillion |</w:t>
      </w:r>
    </w:p>
    <w:p>
      <w:pPr/>
      <w:r>
        <w:rPr>
          <w:rFonts w:ascii="Helvetica Light" w:hAnsi="Helvetica Light" w:cs="Helvetica Light"/>
          <w:sz w:val="24"/>
          <w:sz-cs w:val="24"/>
        </w:rPr>
        <w:t xml:space="preserve">| **Projected Forecast (2031)** | USD 1.63 trillion |</w:t>
      </w:r>
    </w:p>
    <w:p>
      <w:pPr/>
      <w:r>
        <w:rPr>
          <w:rFonts w:ascii="Helvetica Light" w:hAnsi="Helvetica Light" w:cs="Helvetica Light"/>
          <w:sz w:val="24"/>
          <w:sz-cs w:val="24"/>
        </w:rPr>
        <w:t xml:space="preserve">| **Growth Rate (CAGR)** | 9.53 %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Special Interest Tourism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![Special Interest Tourism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![Special Interest Tourism Market Share by Tourism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![Special Interest Tourism Market Share by Traveler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![Special Interest Tourism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![Special Interest Tourism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2022 - 2031 | </w:t>
      </w:r>
    </w:p>
    <w:p>
      <w:pPr/>
      <w:r>
        <w:rPr>
          <w:rFonts w:ascii="Helvetica Light" w:hAnsi="Helvetica Light" w:cs="Helvetica Light"/>
          <w:sz w:val="24"/>
          <w:sz-cs w:val="24"/>
        </w:rPr>
        <w:t xml:space="preserve">Market Size (2026) | USD 1.63 Trillion | </w:t>
      </w:r>
    </w:p>
    <w:p>
      <w:pPr/>
      <w:r>
        <w:rPr>
          <w:rFonts w:ascii="Helvetica Light" w:hAnsi="Helvetica Light" w:cs="Helvetica Light"/>
          <w:sz w:val="24"/>
          <w:sz-cs w:val="24"/>
        </w:rPr>
        <w:t xml:space="preserve">Market Size (2031) | USD 2.57 Trillion | </w:t>
      </w:r>
    </w:p>
    <w:p>
      <w:pPr/>
      <w:r>
        <w:rPr>
          <w:rFonts w:ascii="Helvetica Light" w:hAnsi="Helvetica Light" w:cs="Helvetica Light"/>
          <w:sz w:val="24"/>
          <w:sz-cs w:val="24"/>
        </w:rPr>
        <w:t xml:space="preserve">Growth Rate (2026 - 2031) | 9.53 %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Europe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Special Interest Tourism Market Analysis by Mordor IntelligenceThe global special interest tourism market size stood at USD 1.63 trillion in 2026, up from USD 1.38 trillion in 2025, and is projected to reach USD 2.57 trillion by 2031, with a 9.53% CAGR. The special interest tourism market is expanding faster than broader travel demand. In contrast, global travel and tourism contributed a record USD 11.6 trillion to GDP in 2025, equal to 9.8% of the world economy[1]WTTC https://wttc.org/news/travel-tourism-sees-best-year-ever,-outpacing-the-global-economy-in-2025. International tourist arrivals reached 1.52 billion in 2025, up 4% from 2024, while tourism receipts reached USD 1.9 trillion, supporting higher spending on experience-led trips. Cultural and heritage travel remains the scale anchor because protected assets and recognized heritage sites continue to raise destination visibility and arrival volumes. Wellness and medical travel are driving premium growth, as the wellness economy reached USD 6.8 trillion in 2024 and travel-linked health spending continued to strengthen[2]GLOBAL WELLNESS INSTITUTE https://globalwellnessinstitute.org/wp-content/uploads/2025/11/2025-GWI-WE-Monitor_DIGITAL-FINAL.pdf. Regional momentum is also widening, with Europe holding the largest base and Asia-Pacific showing the fastest advance, supported by strong regional travel GDP growth and a larger pipeline of experience-oriented travelers.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tourism type, cultural and heritage tourism held 28.6% of the special interest tourism market share in 2025, while wellness and medical tourism is forecast to expand at a 12.9% CAGR through 2031.</w:t>
      </w:r>
    </w:p>
    <w:p>
      <w:pPr/>
      <w:r>
        <w:rPr>
          <w:rFonts w:ascii="Helvetica Light" w:hAnsi="Helvetica Light" w:cs="Helvetica Light"/>
          <w:sz w:val="24"/>
          <w:sz-cs w:val="24"/>
        </w:rPr>
        <w:t xml:space="preserve">* By tourist type, domestic tourists accounted for 62.4% of the special-interest tourism market share in 2025, while international tourists are projected to grow at a 10.2% CAGR through 2031.</w:t>
      </w:r>
    </w:p>
    <w:p>
      <w:pPr/>
      <w:r>
        <w:rPr>
          <w:rFonts w:ascii="Helvetica Light" w:hAnsi="Helvetica Light" w:cs="Helvetica Light"/>
          <w:sz w:val="24"/>
          <w:sz-cs w:val="24"/>
        </w:rPr>
        <w:t xml:space="preserve">* By traveler type, individual travelers held 38.2% of the special-interest tourism market share in 2025, while professional travelers are projected to grow at an 11.7% CAGR through 2031.</w:t>
      </w:r>
    </w:p>
    <w:p>
      <w:pPr/>
      <w:r>
        <w:rPr>
          <w:rFonts w:ascii="Helvetica Light" w:hAnsi="Helvetica Light" w:cs="Helvetica Light"/>
          <w:sz w:val="24"/>
          <w:sz-cs w:val="24"/>
        </w:rPr>
        <w:t xml:space="preserve">* By booking channel, direct digital booking held 40.1% of the special-interest tourism market share in 2025 and is forecast to grow at a 10.3% CAGR through 2031.</w:t>
      </w:r>
    </w:p>
    <w:p>
      <w:pPr/>
      <w:r>
        <w:rPr>
          <w:rFonts w:ascii="Helvetica Light" w:hAnsi="Helvetica Light" w:cs="Helvetica Light"/>
          <w:sz w:val="24"/>
          <w:sz-cs w:val="24"/>
        </w:rPr>
        <w:t xml:space="preserve">* By geography, Europe held 33.1% of the special interest tourism market share in 2025, while Asia-Pacific is forecast to grow at a 12.4%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Special Interest Tourism Market*Driver | (~) % Impact on CAGR Forecast | Geographic Relevance | Impact Timeline | </w:t>
      </w:r>
    </w:p>
    <w:p>
      <w:pPr/>
      <w:r>
        <w:rPr>
          <w:rFonts w:ascii="Helvetica Light" w:hAnsi="Helvetica Light" w:cs="Helvetica Light"/>
          <w:sz w:val="24"/>
          <w:sz-cs w:val="24"/>
        </w:rPr>
        <w:t xml:space="preserve">Experiential-Travel Preference Among Millennials and Gen Z | +2.8% | Global, with concentrated effect in North America, Europe, and Asia-Pacific urban markets | Short term (≤ 2 years) | </w:t>
      </w:r>
    </w:p>
    <w:p>
      <w:pPr/>
      <w:r>
        <w:rPr>
          <w:rFonts w:ascii="Helvetica Light" w:hAnsi="Helvetica Light" w:cs="Helvetica Light"/>
          <w:sz w:val="24"/>
          <w:sz-cs w:val="24"/>
        </w:rPr>
        <w:t xml:space="preserve">Rising Disposable Income in Emerging Economies | +2.1% | Asia-Pacific core, India, Southeast Asia, the Middle East, with spillover to South America | Medium term (2-4 years) | </w:t>
      </w:r>
    </w:p>
    <w:p>
      <w:pPr/>
      <w:r>
        <w:rPr>
          <w:rFonts w:ascii="Helvetica Light" w:hAnsi="Helvetica Light" w:cs="Helvetica Light"/>
          <w:sz w:val="24"/>
          <w:sz-cs w:val="24"/>
        </w:rPr>
        <w:t xml:space="preserve">Government Incentives for Niche-Tourism Corridors | +1.0% | Middle East, Southeast Asia, South America | Medium term (2-4 years) | </w:t>
      </w:r>
    </w:p>
    <w:p>
      <w:pPr/>
      <w:r>
        <w:rPr>
          <w:rFonts w:ascii="Helvetica Light" w:hAnsi="Helvetica Light" w:cs="Helvetica Light"/>
          <w:sz w:val="24"/>
          <w:sz-cs w:val="24"/>
        </w:rPr>
        <w:t xml:space="preserve">Blockchain-Enabled Loyalty and ID Increases Traveler Trust | +0.5% | Global, with early adoption in the Middle East and Singapore hub | Long term (≥ 4 years) | </w:t>
      </w:r>
    </w:p>
    <w:p>
      <w:pPr/>
      <w:r>
        <w:rPr>
          <w:rFonts w:ascii="Helvetica Light" w:hAnsi="Helvetica Light" w:cs="Helvetica Light"/>
          <w:sz w:val="24"/>
          <w:sz-cs w:val="24"/>
        </w:rPr>
        <w:t xml:space="preserve">Creator-Economy Micro-Communities Amplifying Niche Demand | +0.7% | Global, with the highest penetration in Gen Z-heavy North America and Asia-Pacific | Short term (≤ 2 years) | </w:t>
      </w:r>
    </w:p>
    <w:p>
      <w:pPr/>
      <w:r>
        <w:rPr>
          <w:rFonts w:ascii="Helvetica Light" w:hAnsi="Helvetica Light" w:cs="Helvetica Light"/>
          <w:sz w:val="24"/>
          <w:sz-cs w:val="24"/>
        </w:rPr>
        <w:t xml:space="preserve">Regenerative-Tourism Certifications Driving Premium Pricing | +0.4% | Europe, Oceania, with emerging adoption in Central America and East Africa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special-interest tourism market remained moderately fragmented in 2025, with the top five operators accounting for a combined 24.9% share. TUI Group led with 7.8%, supported by its vertically integrated model and TUI Musement's scale. TUI’s 2025 annual report said TUI Musement sold 10.6 million experiences in FY2025, up 6%, demonstrating the reach that broad distribution can deliver in the special-interest tourism market. Intrepid Travel also showed that focused small-group formats can scale, reporting FY2025 revenue of USD 809.3 million, up 29% year over year, with an NPS of 83. This leaves room for both large platforms and specialist brands with strong local credibility. Brand trust, local supplier relationships, and sustainability positioning remain important differentiators for second-tier specialists.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expansion is becoming more active across the special-interest tourism market as operators buy local capability rather than build it slowly. Intrepid Travel completed the acquisition of Altaï Group in April 2026, its largest deal to date, adding more than AUD 100 million (USD 65 million) in annual revenue and expanding access to French-speaking demand. TUI Musement also signed a B2B partnership with Jet2 in April 2026 to extend its excursions and activities portfolio to a wider leisure airline customer base. These moves show that distribution scale, language reach, and product depth are now central competitive tools. They also suggest that consolidation will remain selective and focused on capability gaps rather than pure size alone.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and standards are shaping the next competitive layer in the special interest tourism market. TUI is investing in stronger digital product visibility, while Intrepid used price transparency as a retention tool by committing to no additional surcharges on 2026 bookings. GSTC-linked sustainability standards are also becoming increasingly important for institutional buyers and premium travelers seeking clearer proof of operational quality. As a result, the special-interest tourism market is likely to continue rewarding operators that combine trusted branding, local partnerships, strong safety practices, and direct digital control.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Special Interest Tourism Industry Leaders* TUI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Intrepid Travel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 Adventures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Abercrombie &amp; Kent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Exodus Travels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Special Interest Tourism Market Report ScopeBy Tourism Type (Value)Cultural &amp; Heritage Tourism | </w:t>
      </w:r>
    </w:p>
    <w:p>
      <w:pPr/>
      <w:r>
        <w:rPr>
          <w:rFonts w:ascii="Helvetica Light" w:hAnsi="Helvetica Light" w:cs="Helvetica Light"/>
          <w:sz w:val="24"/>
          <w:sz-cs w:val="24"/>
        </w:rPr>
        <w:t xml:space="preserve">Eco &amp; Nature Tourism | </w:t>
      </w:r>
    </w:p>
    <w:p>
      <w:pPr/>
      <w:r>
        <w:rPr>
          <w:rFonts w:ascii="Helvetica Light" w:hAnsi="Helvetica Light" w:cs="Helvetica Light"/>
          <w:sz w:val="24"/>
          <w:sz-cs w:val="24"/>
        </w:rPr>
        <w:t xml:space="preserve">Wellness &amp; Medical Tourism | </w:t>
      </w:r>
    </w:p>
    <w:p>
      <w:pPr/>
      <w:r>
        <w:rPr>
          <w:rFonts w:ascii="Helvetica Light" w:hAnsi="Helvetica Light" w:cs="Helvetica Light"/>
          <w:sz w:val="24"/>
          <w:sz-cs w:val="24"/>
        </w:rPr>
        <w:t xml:space="preserve">Culinary &amp; Wine Tourism | </w:t>
      </w:r>
    </w:p>
    <w:p>
      <w:pPr/>
      <w:r>
        <w:rPr>
          <w:rFonts w:ascii="Helvetica Light" w:hAnsi="Helvetica Light" w:cs="Helvetica Light"/>
          <w:sz w:val="24"/>
          <w:sz-cs w:val="24"/>
        </w:rPr>
        <w:t xml:space="preserve">Other Tourism Types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 (Value)North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BENELUX (Belgium, Netherlands, Luxembourg) | </w:t>
      </w:r>
    </w:p>
    <w:p>
      <w:pPr/>
      <w:r>
        <w:rPr>
          <w:rFonts w:ascii="Helvetica Light" w:hAnsi="Helvetica Light" w:cs="Helvetica Light"/>
          <w:sz w:val="24"/>
          <w:sz-cs w:val="24"/>
        </w:rPr>
        <w:t xml:space="preserve"> | NORDICS (Denmark, Finland, Iceland, Norway, Sweden)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South-East Asia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&amp;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Middle East &amp;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special interest tourism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special-interest tourism market size stood at USD 1.63 trillion in 2026 and is projected to reach USD 2.57 trillion by 2031, at a 9.53%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tourism type leads the special interest tourism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Cultural and heritage tourism led with 28.6% share in 2025, supported by the commercial pull of recognized heritage assets and destination storytelling.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tourism type is growing the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Wellness and medical tourism are forecast to grow at a 12.9% CAGR, supported by expanding health, recovery, and self-care travel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the Asia-Pacific important for future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forecast to grow at a 12.4% CAGR, helped by 8.1% travel GDP growth in 2025 and a stronger outbound traveler base across major source markets.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biggest constraint on premium niche travel?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Safety risk in remote adventure corridors and the high cost of specialized packages remain the most visible constraints, especially for first-time and price-sensitive travelers.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companies are shaping competitive activity in 2026?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TUI Group and Intrepid Travel remain the clearest examples, with TUI expanding distribution through Jet2 and Intrepid adding Altaï Group while holding pricing steady on 2026 bookings.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