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Stick Packaging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Flexible &amp; Barrier Packaging (Packaging)  </w:t>
      </w:r>
    </w:p>
    <w:p>
      <w:pPr/>
      <w:r>
        <w:rPr>
          <w:rFonts w:ascii="Helvetica Light" w:hAnsi="Helvetica Light" w:cs="Helvetica Light"/>
          <w:sz w:val="24"/>
          <w:sz-cs w:val="24"/>
        </w:rPr>
        <w:t xml:space="preserve">&gt; **Source:** [https://www.mordorintelligence.com/industry-reports/stick-packaging-market](https://www.mordorintelligence.com/industry-reports/stick-packaging-market)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1.58 billion |</w:t>
      </w:r>
    </w:p>
    <w:p>
      <w:pPr/>
      <w:r>
        <w:rPr>
          <w:rFonts w:ascii="Helvetica Light" w:hAnsi="Helvetica Light" w:cs="Helvetica Light"/>
          <w:sz w:val="24"/>
          <w:sz-cs w:val="24"/>
        </w:rPr>
        <w:t xml:space="preserve">| **Projected Forecast (2031)** | USD 1.58 billion |</w:t>
      </w:r>
    </w:p>
    <w:p>
      <w:pPr/>
      <w:r>
        <w:rPr>
          <w:rFonts w:ascii="Helvetica Light" w:hAnsi="Helvetica Light" w:cs="Helvetica Light"/>
          <w:sz w:val="24"/>
          <w:sz-cs w:val="24"/>
        </w:rPr>
        <w:t xml:space="preserve">| **Growth Rate (CAGR)** | 5.54 %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Stick Packaging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Market Share by Material](images/chart_4.png)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Market Share by End-User Industry](images/chart_5.png)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1.58 Billion | </w:t>
      </w:r>
    </w:p>
    <w:p>
      <w:pPr/>
      <w:r>
        <w:rPr>
          <w:rFonts w:ascii="Helvetica Light" w:hAnsi="Helvetica Light" w:cs="Helvetica Light"/>
          <w:sz w:val="24"/>
          <w:sz-cs w:val="24"/>
        </w:rPr>
        <w:t xml:space="preserve">Market Size (2031) | USD 2.07 Billion | </w:t>
      </w:r>
    </w:p>
    <w:p>
      <w:pPr/>
      <w:r>
        <w:rPr>
          <w:rFonts w:ascii="Helvetica Light" w:hAnsi="Helvetica Light" w:cs="Helvetica Light"/>
          <w:sz w:val="24"/>
          <w:sz-cs w:val="24"/>
        </w:rPr>
        <w:t xml:space="preserve">Growth Rate (2026 - 2031) | 5.54 %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Market Analysis by Mordor IntelligenceThe Stick Packaging Market size is projected to expand from USD 1.49 billion in 2025 and USD 1.58 billion in 2026 to USD 2.07 billion by 2031, registering a CAGR of 5.54%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Rapid urban lifestyles, rising demand for precise micro-dosing in pediatrics and nutraceuticals, and smart barrier coatings that remove the need for desiccant inserts are reshaping pack design. Brand owners are pivoting toward compostable and mono-material films to comply with extended producer responsibility laws, while contract manufacturers accelerate multi-lane automation to meet serialization and traceability rules. Material lightweighting cuts freight bills and helps companies reach climate targets, and e-commerce bundles of functional beverages and collagen peptide sticks are creating recurring revenue streams. Competitive dynamics remain moderate because global film converters leverage cleanroom assets and barrier-coating know-how, while regional machinery specialists win programs by demonstrating rapid format changeovers.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 led with 56.74% revenue share in 2025 of the stick packaging market, whereas bioplastics are on track to post the fastest 6.34% CAGR through 2031.</w:t>
      </w:r>
    </w:p>
    <w:p>
      <w:pPr/>
      <w:r>
        <w:rPr>
          <w:rFonts w:ascii="Helvetica Light" w:hAnsi="Helvetica Light" w:cs="Helvetica Light"/>
          <w:sz w:val="24"/>
          <w:sz-cs w:val="24"/>
        </w:rPr>
        <w:t xml:space="preserve">* By product form, powders accounted for 42.34% of the stick packaging market share in 2025, and liquids are projected to expand at a 6.29% CAGR during 2026-2031.</w:t>
      </w:r>
    </w:p>
    <w:p>
      <w:pPr/>
      <w:r>
        <w:rPr>
          <w:rFonts w:ascii="Helvetica Light" w:hAnsi="Helvetica Light" w:cs="Helvetica Light"/>
          <w:sz w:val="24"/>
          <w:sz-cs w:val="24"/>
        </w:rPr>
        <w:t xml:space="preserve">* By end-user industry, food and beverages accounted for 37.81% of the stick packaging market's revenue share in 2025, while nutraceutical powders within this group are advancing at a 6.41% CAGR through 2031.</w:t>
      </w:r>
    </w:p>
    <w:p>
      <w:pPr/>
      <w:r>
        <w:rPr>
          <w:rFonts w:ascii="Helvetica Light" w:hAnsi="Helvetica Light" w:cs="Helvetica Light"/>
          <w:sz w:val="24"/>
          <w:sz-cs w:val="24"/>
        </w:rPr>
        <w:t xml:space="preserve">* By packaging-machinery lane count, 4-10 lane systems commanded 44.47% of the 2025 base, but 11-20 lane equipment is forecast to grow at a 6.37% CAGR to 2031.</w:t>
      </w:r>
    </w:p>
    <w:p>
      <w:pPr/>
      <w:r>
        <w:rPr>
          <w:rFonts w:ascii="Helvetica Light" w:hAnsi="Helvetica Light" w:cs="Helvetica Light"/>
          <w:sz w:val="24"/>
          <w:sz-cs w:val="24"/>
        </w:rPr>
        <w:t xml:space="preserve">* By geography, Asia-Pacific captured 32.76% revenue share of the stick packaging market in 2025, and the Middle East is expected to log the quickest 6.52%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Stick Packaging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Convenience and On-the-Go Consumption Boom | +1.2% | Global, early adoption in North America, Europe, and urban Asia-Pacific | Short Term (≤ 2 years) | </w:t>
      </w:r>
    </w:p>
    <w:p>
      <w:pPr/>
      <w:r>
        <w:rPr>
          <w:rFonts w:ascii="Helvetica Light" w:hAnsi="Helvetica Light" w:cs="Helvetica Light"/>
          <w:sz w:val="24"/>
          <w:sz-cs w:val="24"/>
        </w:rPr>
        <w:t xml:space="preserve">Demand for Material and Weight Reduction | +0.9% | Global, strongest in Europe and North America | Medium Term (2–4 years) | </w:t>
      </w:r>
    </w:p>
    <w:p>
      <w:pPr/>
      <w:r>
        <w:rPr>
          <w:rFonts w:ascii="Helvetica Light" w:hAnsi="Helvetica Light" w:cs="Helvetica Light"/>
          <w:sz w:val="24"/>
          <w:sz-cs w:val="24"/>
        </w:rPr>
        <w:t xml:space="preserve">Sustainability Mandates for Flexible Packs | +1.1% | Europe and North America core, spill-over to Asia-Pacific and Middle East | Medium Term (2–4 years) | </w:t>
      </w:r>
    </w:p>
    <w:p>
      <w:pPr/>
      <w:r>
        <w:rPr>
          <w:rFonts w:ascii="Helvetica Light" w:hAnsi="Helvetica Light" w:cs="Helvetica Light"/>
          <w:sz w:val="24"/>
          <w:sz-cs w:val="24"/>
        </w:rPr>
        <w:t xml:space="preserve">Pharma Micro-Dosing and Pediatric Formats | +0.8% | Global, focused on North America, Europe, and India | Long Term (≥ 4 years) | </w:t>
      </w:r>
    </w:p>
    <w:p>
      <w:pPr/>
      <w:r>
        <w:rPr>
          <w:rFonts w:ascii="Helvetica Light" w:hAnsi="Helvetica Light" w:cs="Helvetica Light"/>
          <w:sz w:val="24"/>
          <w:sz-cs w:val="24"/>
        </w:rPr>
        <w:t xml:space="preserve">Smart Moisture-Activated Barrier Coatings | +0.6% | Global, first movers in North America and Europe | Long Term (≥ 4 years) | </w:t>
      </w:r>
    </w:p>
    <w:p>
      <w:pPr/>
      <w:r>
        <w:rPr>
          <w:rFonts w:ascii="Helvetica Light" w:hAnsi="Helvetica Light" w:cs="Helvetica Light"/>
          <w:sz w:val="24"/>
          <w:sz-cs w:val="24"/>
        </w:rPr>
        <w:t xml:space="preserve">Rise of Functional Beverage Stick Packs in Micro-Fulfillment | +0.5% | Urban North America, Europe, and select Asia-Pacific metros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stays moderate. Global majors Amcor, Constantia Flexibles and Huhtamäki command high-barrier laminate portfolios and cleanroom converting lines that appeal to regulated pharma and nutraceutical accounts. Amcor rolled out recycle-ready, plasma-coated medical laminates in February 2025, proving mono-material film can still hit sub-1 g/m²-day moisture ingress. Constantia earmarked EUR 50 million (USD 56 million) for a rolling-mill upgrade in Austria to expand pharmaceutical foil, and Huhtamäki secured EcoVadis Gold for the fifth straight year, helping downstream brands audit Scope 3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machinery specialists such as Nichrome, Viking Masek, and Aranow win bids by offering modular frames that swap auger fillers for piston pumps in under an hour. Contract development and manufacturing organizations, notably Unither Pharmaceuticals, add liquid stick capacity to capture white-space opportunities in pediatric suspensions. Suppliers integrate artificial-intelligence vision to spot crimp wrinkles in real time, slashing waste and securing high-value stability trials for tropical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edge now blends technical barrier mastery with life-cycle assessment proof. Players unable to certify mono-material recyclability face surcharges under extended producer responsibility schemes, nudging converters toward alliances with coating-chemistry startups that promise drop-in plasma layers. Those that achieve pharmaceutical validation and recyclability at scale are positioned to set price premium benchmarks.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Stick Packaging Industry Leaders* Amcor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Constantia Flexibles Group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Winpak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Glenroy,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Sonoco Products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stick-pack style flexible packs used to portion and protect powders, granules, liquids, and semi-solids for end users such as food and beverages, pharmaceuticals, cosmetics, personal care, and household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rigid packs and conventional pouches or sachets that are not in a stick-pack format, and we also exclude downstream retail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Plastics</w:t>
      </w:r>
    </w:p>
    <w:p>
      <w:pPr/>
      <w:r>
        <w:rPr>
          <w:rFonts w:ascii="Helvetica Light" w:hAnsi="Helvetica Light" w:cs="Helvetica Light"/>
          <w:sz w:val="24"/>
          <w:sz-cs w:val="24"/>
        </w:rPr>
        <w:t xml:space="preserve">* Paper</w:t>
      </w:r>
    </w:p>
    <w:p>
      <w:pPr/>
      <w:r>
        <w:rPr>
          <w:rFonts w:ascii="Helvetica Light" w:hAnsi="Helvetica Light" w:cs="Helvetica Light"/>
          <w:sz w:val="24"/>
          <w:sz-cs w:val="24"/>
        </w:rPr>
        <w:t xml:space="preserve">* Metal Foils</w:t>
      </w:r>
    </w:p>
    <w:p>
      <w:pPr/>
      <w:r>
        <w:rPr>
          <w:rFonts w:ascii="Helvetica Light" w:hAnsi="Helvetica Light" w:cs="Helvetica Light"/>
          <w:sz w:val="24"/>
          <w:sz-cs w:val="24"/>
        </w:rPr>
        <w:t xml:space="preserve">* Bioplastics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Form* Powders</w:t>
      </w:r>
    </w:p>
    <w:p>
      <w:pPr/>
      <w:r>
        <w:rPr>
          <w:rFonts w:ascii="Helvetica Light" w:hAnsi="Helvetica Light" w:cs="Helvetica Light"/>
          <w:sz w:val="24"/>
          <w:sz-cs w:val="24"/>
        </w:rPr>
        <w:t xml:space="preserve">* Granules</w:t>
      </w:r>
    </w:p>
    <w:p>
      <w:pPr/>
      <w:r>
        <w:rPr>
          <w:rFonts w:ascii="Helvetica Light" w:hAnsi="Helvetica Light" w:cs="Helvetica Light"/>
          <w:sz w:val="24"/>
          <w:sz-cs w:val="24"/>
        </w:rPr>
        <w:t xml:space="preserve">* Liquids</w:t>
      </w:r>
    </w:p>
    <w:p>
      <w:pPr/>
      <w:r>
        <w:rPr>
          <w:rFonts w:ascii="Helvetica Light" w:hAnsi="Helvetica Light" w:cs="Helvetica Light"/>
          <w:sz w:val="24"/>
          <w:sz-cs w:val="24"/>
        </w:rPr>
        <w:t xml:space="preserve">* Semi-Solids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Food and Beverages* Instant Beverages</w:t>
      </w:r>
    </w:p>
    <w:p>
      <w:pPr/>
      <w:r>
        <w:rPr>
          <w:rFonts w:ascii="Helvetica Light" w:hAnsi="Helvetica Light" w:cs="Helvetica Light"/>
          <w:sz w:val="24"/>
          <w:sz-cs w:val="24"/>
        </w:rPr>
        <w:t xml:space="preserve">* Nutraceutical Powders</w:t>
      </w:r>
    </w:p>
    <w:p>
      <w:pPr/>
      <w:r>
        <w:rPr>
          <w:rFonts w:ascii="Helvetica Light" w:hAnsi="Helvetica Light" w:cs="Helvetica Light"/>
          <w:sz w:val="24"/>
          <w:sz-cs w:val="24"/>
        </w:rPr>
        <w:t xml:space="preserve">* Sugar and Sweeteners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Pharmaceuticals* OTC</w:t>
      </w:r>
    </w:p>
    <w:p>
      <w:pPr/>
      <w:r>
        <w:rPr>
          <w:rFonts w:ascii="Helvetica Light" w:hAnsi="Helvetica Light" w:cs="Helvetica Light"/>
          <w:sz w:val="24"/>
          <w:sz-cs w:val="24"/>
        </w:rPr>
        <w:t xml:space="preserve">* Rx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Cosmetics and Personal Care</w:t>
      </w:r>
    </w:p>
    <w:p>
      <w:pPr/>
      <w:r>
        <w:rPr>
          <w:rFonts w:ascii="Helvetica Light" w:hAnsi="Helvetica Light" w:cs="Helvetica Light"/>
          <w:sz w:val="24"/>
          <w:sz-cs w:val="24"/>
        </w:rPr>
        <w:t xml:space="preserve">* Industrial and Household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Packaging-Machinery Lane Count* 1-3 Lanes</w:t>
      </w:r>
    </w:p>
    <w:p>
      <w:pPr/>
      <w:r>
        <w:rPr>
          <w:rFonts w:ascii="Helvetica Light" w:hAnsi="Helvetica Light" w:cs="Helvetica Light"/>
          <w:sz w:val="24"/>
          <w:sz-cs w:val="24"/>
        </w:rPr>
        <w:t xml:space="preserve">* 4-10 Lanes</w:t>
      </w:r>
    </w:p>
    <w:p>
      <w:pPr/>
      <w:r>
        <w:rPr>
          <w:rFonts w:ascii="Helvetica Light" w:hAnsi="Helvetica Light" w:cs="Helvetica Light"/>
          <w:sz w:val="24"/>
          <w:sz-cs w:val="24"/>
        </w:rPr>
        <w:t xml:space="preserve">* 11-20 Lanes</w:t>
      </w:r>
    </w:p>
    <w:p>
      <w:pPr/>
      <w:r>
        <w:rPr>
          <w:rFonts w:ascii="Helvetica Light" w:hAnsi="Helvetica Light" w:cs="Helvetica Light"/>
          <w:sz w:val="24"/>
          <w:sz-cs w:val="24"/>
        </w:rPr>
        <w:t xml:space="preserve">* Greater Than 20 Lanes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Israel</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stick packaging market in 2026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valued at USD 1.58 billion in 2026 and is projected to reach USD 2.07 billion by 2031, tracking a 5.54%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material category is gaining share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Bioplastics, led by polylactic acid and polyhydroxyalkanoates, are on course for a 6.34% CAGR through 2031 as brand owners pursue compostable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multi-lane machines important in new capacity plans?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11-20-lane systems deliver up to 1,600 sticks per minute, letting contract manufacturers meet serialization mandates and lower labor cost per unit.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the rise of liquid stick packs?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Advances in aseptic form-fill-seal equipment now handle viscosities to 5,000 cP, opening opportunities in functional beverages and pediatric suspensions.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regulatory trends affect stick-pack material choice?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producer responsibility laws in the European Union, Canada and several U.S. states impose higher fees on non-recyclable multi-layer films, steering converters toward mono-material PE and PP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posts the strongest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is projected to register a 6.52% CAGR as Saudi Arabia and the UAE localize pharmaceutical and nutraceutical production.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